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xml" ContentType="application/vnd.openxmlformats-officedocument.themeOverrid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enett"/>
        <w:tblpPr w:leftFromText="141" w:rightFromText="141" w:vertAnchor="text" w:horzAnchor="margin" w:tblpXSpec="center" w:tblpY="5555"/>
        <w:tblW w:w="11576" w:type="dxa"/>
        <w:tblLook w:val="04A0" w:firstRow="1" w:lastRow="0" w:firstColumn="1" w:lastColumn="0" w:noHBand="0" w:noVBand="1"/>
      </w:tblPr>
      <w:tblGrid>
        <w:gridCol w:w="4010"/>
        <w:gridCol w:w="3788"/>
        <w:gridCol w:w="4176"/>
      </w:tblGrid>
      <w:tr w:rsidR="00AC10BC" w14:paraId="669E03C6" w14:textId="77777777" w:rsidTr="00AC10BC">
        <w:trPr>
          <w:trHeight w:val="2684"/>
        </w:trPr>
        <w:tc>
          <w:tcPr>
            <w:tcW w:w="3635" w:type="dxa"/>
            <w:tcBorders>
              <w:top w:val="single" w:sz="4" w:space="0" w:color="FFFFFF" w:themeColor="background1"/>
              <w:bottom w:val="single" w:sz="4" w:space="0" w:color="FFFFFF" w:themeColor="background1"/>
              <w:right w:val="single" w:sz="4" w:space="0" w:color="FFFFFF" w:themeColor="background1"/>
            </w:tcBorders>
          </w:tcPr>
          <w:p w14:paraId="09355D63" w14:textId="1F2A737B" w:rsidR="00336BA9" w:rsidRDefault="00AC10BC" w:rsidP="00336BA9">
            <w:pPr>
              <w:jc w:val="right"/>
              <w:rPr>
                <w:rStyle w:val="Overskrift2Tegn"/>
                <w:b w:val="0"/>
                <w:bCs/>
                <w:color w:val="5B9BD5" w:themeColor="accent1"/>
                <w:sz w:val="32"/>
                <w:szCs w:val="32"/>
              </w:rPr>
            </w:pPr>
            <w:r>
              <w:rPr>
                <w:rFonts w:eastAsiaTheme="majorEastAsia" w:cstheme="majorBidi"/>
                <w:b/>
                <w:bCs/>
                <w:noProof/>
                <w:color w:val="5B9BD5" w:themeColor="accent1"/>
                <w:sz w:val="32"/>
                <w:szCs w:val="32"/>
              </w:rPr>
              <w:drawing>
                <wp:inline distT="0" distB="0" distL="0" distR="0" wp14:anchorId="3A9D0AF4" wp14:editId="2D779550">
                  <wp:extent cx="2409263" cy="1628775"/>
                  <wp:effectExtent l="0" t="0" r="0" b="0"/>
                  <wp:docPr id="6" name="Bilde 6" descr="Et bilde som inneholder bord, innendørs, tre,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bord, innendørs, tre, sitter&#10;&#10;Automatisk generert beskrivelse"/>
                          <pic:cNvPicPr/>
                        </pic:nvPicPr>
                        <pic:blipFill>
                          <a:blip r:embed="rId8"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442598" cy="1651311"/>
                          </a:xfrm>
                          <a:prstGeom prst="rect">
                            <a:avLst/>
                          </a:prstGeom>
                        </pic:spPr>
                      </pic:pic>
                    </a:graphicData>
                  </a:graphic>
                </wp:inline>
              </w:drawing>
            </w:r>
          </w:p>
        </w:tc>
        <w:tc>
          <w:tcPr>
            <w:tcW w:w="3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4C428E" w14:textId="6E258DFD" w:rsidR="00336BA9" w:rsidRDefault="00336BA9" w:rsidP="00336BA9">
            <w:pPr>
              <w:jc w:val="right"/>
              <w:rPr>
                <w:rStyle w:val="Overskrift2Tegn"/>
                <w:b w:val="0"/>
                <w:bCs/>
                <w:color w:val="5B9BD5" w:themeColor="accent1"/>
                <w:sz w:val="32"/>
                <w:szCs w:val="32"/>
              </w:rPr>
            </w:pPr>
            <w:r>
              <w:rPr>
                <w:rFonts w:eastAsiaTheme="majorEastAsia" w:cstheme="majorBidi"/>
                <w:b/>
                <w:bCs/>
                <w:noProof/>
                <w:color w:val="5B9BD5" w:themeColor="accent1"/>
                <w:sz w:val="32"/>
                <w:szCs w:val="32"/>
              </w:rPr>
              <w:drawing>
                <wp:inline distT="0" distB="0" distL="0" distR="0" wp14:anchorId="31C52643" wp14:editId="5FA7F979">
                  <wp:extent cx="2268617" cy="1657350"/>
                  <wp:effectExtent l="0" t="0" r="0" b="0"/>
                  <wp:docPr id="3" name="Bilde 3" descr="Et bilde som inneholder person, bærbar PC, innendørs, datamask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person, bærbar PC, innendørs, datamaskin&#10;&#10;Automatisk generert beskrivelse"/>
                          <pic:cNvPicPr/>
                        </pic:nvPicPr>
                        <pic:blipFill>
                          <a:blip r:embed="rId9"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306905" cy="1685321"/>
                          </a:xfrm>
                          <a:prstGeom prst="rect">
                            <a:avLst/>
                          </a:prstGeom>
                        </pic:spPr>
                      </pic:pic>
                    </a:graphicData>
                  </a:graphic>
                </wp:inline>
              </w:drawing>
            </w:r>
          </w:p>
        </w:tc>
        <w:tc>
          <w:tcPr>
            <w:tcW w:w="4086" w:type="dxa"/>
            <w:tcBorders>
              <w:top w:val="single" w:sz="4" w:space="0" w:color="FFFFFF" w:themeColor="background1"/>
              <w:left w:val="single" w:sz="4" w:space="0" w:color="FFFFFF" w:themeColor="background1"/>
              <w:bottom w:val="single" w:sz="4" w:space="0" w:color="FFFFFF" w:themeColor="background1"/>
            </w:tcBorders>
          </w:tcPr>
          <w:p w14:paraId="0BA22625" w14:textId="4FFF537B" w:rsidR="00336BA9" w:rsidRDefault="00225C8A" w:rsidP="00336BA9">
            <w:pPr>
              <w:jc w:val="right"/>
              <w:rPr>
                <w:rStyle w:val="Overskrift2Tegn"/>
                <w:b w:val="0"/>
                <w:bCs/>
                <w:color w:val="5B9BD5" w:themeColor="accent1"/>
                <w:sz w:val="32"/>
                <w:szCs w:val="32"/>
              </w:rPr>
            </w:pPr>
            <w:r>
              <w:rPr>
                <w:rFonts w:eastAsiaTheme="majorEastAsia" w:cstheme="majorBidi"/>
                <w:b/>
                <w:bCs/>
                <w:noProof/>
                <w:color w:val="5B9BD5" w:themeColor="accent1"/>
                <w:sz w:val="32"/>
                <w:szCs w:val="32"/>
              </w:rPr>
              <w:drawing>
                <wp:inline distT="0" distB="0" distL="0" distR="0" wp14:anchorId="113275AB" wp14:editId="2904B8B5">
                  <wp:extent cx="2514600" cy="1672796"/>
                  <wp:effectExtent l="0" t="0" r="0" b="3810"/>
                  <wp:docPr id="4" name="Bilde 4" descr="Et bilde som inneholder bord, elektronikk, sitter, for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bord, elektronikk, sitter, foran&#10;&#10;Automatisk generert beskrivelse"/>
                          <pic:cNvPicPr/>
                        </pic:nvPicPr>
                        <pic:blipFill>
                          <a:blip r:embed="rId10"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544874" cy="1692935"/>
                          </a:xfrm>
                          <a:prstGeom prst="rect">
                            <a:avLst/>
                          </a:prstGeom>
                        </pic:spPr>
                      </pic:pic>
                    </a:graphicData>
                  </a:graphic>
                </wp:inline>
              </w:drawing>
            </w:r>
          </w:p>
        </w:tc>
      </w:tr>
    </w:tbl>
    <w:p w14:paraId="74EAFD44" w14:textId="77777777" w:rsidR="002119DB" w:rsidRDefault="002119DB" w:rsidP="002119DB">
      <w:pPr>
        <w:jc w:val="right"/>
      </w:pPr>
      <w:r>
        <w:rPr>
          <w:noProof/>
          <w:lang w:val="en-US"/>
        </w:rPr>
        <w:drawing>
          <wp:anchor distT="0" distB="0" distL="114300" distR="114300" simplePos="0" relativeHeight="251659264" behindDoc="0" locked="0" layoutInCell="1" allowOverlap="1" wp14:anchorId="4B41D31F" wp14:editId="498DC501">
            <wp:simplePos x="0" y="0"/>
            <wp:positionH relativeFrom="margin">
              <wp:align>left</wp:align>
            </wp:positionH>
            <wp:positionV relativeFrom="page">
              <wp:posOffset>942975</wp:posOffset>
            </wp:positionV>
            <wp:extent cx="1752600" cy="5721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7213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4D4AA3E0" wp14:editId="3DAAA799">
            <wp:extent cx="2200319" cy="723900"/>
            <wp:effectExtent l="0" t="0" r="9525" b="0"/>
            <wp:docPr id="26" name="Bilde 2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tekst&#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2560" cy="727927"/>
                    </a:xfrm>
                    <a:prstGeom prst="rect">
                      <a:avLst/>
                    </a:prstGeom>
                  </pic:spPr>
                </pic:pic>
              </a:graphicData>
            </a:graphic>
          </wp:inline>
        </w:drawing>
      </w:r>
    </w:p>
    <w:p w14:paraId="6D6DA8D3" w14:textId="77777777" w:rsidR="002119DB" w:rsidRDefault="002119DB" w:rsidP="002119DB">
      <w:pPr>
        <w:jc w:val="right"/>
      </w:pPr>
    </w:p>
    <w:p w14:paraId="2F17A331" w14:textId="76030898" w:rsidR="00336BA9" w:rsidRDefault="0063340C" w:rsidP="002119DB">
      <w:pPr>
        <w:jc w:val="right"/>
        <w:rPr>
          <w:rStyle w:val="Overskrift2Tegn"/>
          <w:b w:val="0"/>
          <w:bCs/>
          <w:color w:val="5B9BD5" w:themeColor="accent1"/>
          <w:sz w:val="32"/>
          <w:szCs w:val="32"/>
        </w:rPr>
      </w:pPr>
      <w:r>
        <w:br/>
      </w:r>
      <w:r>
        <w:br/>
      </w:r>
      <w:r w:rsidRPr="00457587">
        <w:rPr>
          <w:rStyle w:val="Overskrift1Tegn"/>
          <w:color w:val="0070C0"/>
          <w:sz w:val="52"/>
          <w:szCs w:val="52"/>
        </w:rPr>
        <w:t>SMB-BEDRIFTER OG FORMUESSKATT</w:t>
      </w:r>
      <w:r>
        <w:br/>
      </w:r>
      <w:r>
        <w:br/>
      </w:r>
      <w:r w:rsidRPr="0063340C">
        <w:rPr>
          <w:rStyle w:val="Overskrift2Tegn"/>
          <w:bCs/>
          <w:color w:val="5B9BD5" w:themeColor="accent1"/>
          <w:sz w:val="32"/>
          <w:szCs w:val="32"/>
        </w:rPr>
        <w:t>EMPIRI OG STATISTIKK OM FORMUESSKATT OG KAPITALTILGANG FOR SMB-BEDRIFTER</w:t>
      </w:r>
      <w:r>
        <w:rPr>
          <w:rStyle w:val="Overskrift2Tegn"/>
          <w:bCs/>
          <w:color w:val="5B9BD5" w:themeColor="accent1"/>
          <w:sz w:val="32"/>
          <w:szCs w:val="32"/>
        </w:rPr>
        <w:br/>
      </w:r>
    </w:p>
    <w:tbl>
      <w:tblPr>
        <w:tblStyle w:val="Tabellrutenett"/>
        <w:tblpPr w:leftFromText="141" w:rightFromText="141" w:vertAnchor="text" w:horzAnchor="margin" w:tblpXSpec="center" w:tblpY="2773"/>
        <w:tblW w:w="11570" w:type="dxa"/>
        <w:tblLook w:val="04A0" w:firstRow="1" w:lastRow="0" w:firstColumn="1" w:lastColumn="0" w:noHBand="0" w:noVBand="1"/>
      </w:tblPr>
      <w:tblGrid>
        <w:gridCol w:w="6139"/>
        <w:gridCol w:w="5766"/>
      </w:tblGrid>
      <w:tr w:rsidR="00AC10BC" w14:paraId="21E8264F" w14:textId="77777777" w:rsidTr="00AC10BC">
        <w:trPr>
          <w:trHeight w:val="3409"/>
        </w:trPr>
        <w:tc>
          <w:tcPr>
            <w:tcW w:w="6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192DD5" w14:textId="77777777" w:rsidR="00AC10BC" w:rsidRDefault="00AC10BC" w:rsidP="00AC10BC">
            <w:pPr>
              <w:jc w:val="right"/>
              <w:rPr>
                <w:rStyle w:val="Overskrift2Tegn"/>
                <w:b w:val="0"/>
                <w:bCs/>
                <w:color w:val="5B9BD5" w:themeColor="accent1"/>
                <w:sz w:val="32"/>
                <w:szCs w:val="32"/>
              </w:rPr>
            </w:pPr>
            <w:r>
              <w:rPr>
                <w:rFonts w:eastAsiaTheme="majorEastAsia" w:cstheme="majorBidi"/>
                <w:b/>
                <w:bCs/>
                <w:noProof/>
                <w:color w:val="5B9BD5" w:themeColor="accent1"/>
                <w:sz w:val="32"/>
                <w:szCs w:val="32"/>
              </w:rPr>
              <w:drawing>
                <wp:inline distT="0" distB="0" distL="0" distR="0" wp14:anchorId="6212680F" wp14:editId="38085605">
                  <wp:extent cx="3761696" cy="1880235"/>
                  <wp:effectExtent l="0" t="0" r="0" b="5715"/>
                  <wp:docPr id="7" name="Bilde 7" descr="Et bilde som inneholder datamaskin,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datamaskin, bord&#10;&#10;Automatisk generert beskrivelse"/>
                          <pic:cNvPicPr/>
                        </pic:nvPicPr>
                        <pic:blipFill>
                          <a:blip r:embed="rId13">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3812777" cy="1905767"/>
                          </a:xfrm>
                          <a:prstGeom prst="rect">
                            <a:avLst/>
                          </a:prstGeom>
                        </pic:spPr>
                      </pic:pic>
                    </a:graphicData>
                  </a:graphic>
                </wp:inline>
              </w:drawing>
            </w:r>
          </w:p>
        </w:tc>
        <w:tc>
          <w:tcPr>
            <w:tcW w:w="5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0005B8" w14:textId="00A8B3C9" w:rsidR="00AC10BC" w:rsidRDefault="00AC10BC" w:rsidP="00AC10BC">
            <w:pPr>
              <w:jc w:val="right"/>
              <w:rPr>
                <w:rStyle w:val="Overskrift2Tegn"/>
                <w:b w:val="0"/>
                <w:bCs/>
                <w:color w:val="5B9BD5" w:themeColor="accent1"/>
                <w:sz w:val="32"/>
                <w:szCs w:val="32"/>
              </w:rPr>
            </w:pPr>
            <w:r>
              <w:rPr>
                <w:rFonts w:eastAsiaTheme="majorEastAsia" w:cstheme="majorBidi"/>
                <w:b/>
                <w:bCs/>
                <w:noProof/>
                <w:color w:val="5B9BD5" w:themeColor="accent1"/>
                <w:sz w:val="32"/>
                <w:szCs w:val="32"/>
              </w:rPr>
              <w:drawing>
                <wp:inline distT="0" distB="0" distL="0" distR="0" wp14:anchorId="6305E003" wp14:editId="27EC3AC8">
                  <wp:extent cx="3518297" cy="1876425"/>
                  <wp:effectExtent l="0" t="0" r="6350" b="0"/>
                  <wp:docPr id="8" name="Bilde 8" descr="Et bilde som inneholder solnedga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solnedgang&#10;&#10;Automatisk generert beskrivelse"/>
                          <pic:cNvPicPr/>
                        </pic:nvPicPr>
                        <pic:blipFill>
                          <a:blip r:embed="rId14">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3593496" cy="1916531"/>
                          </a:xfrm>
                          <a:prstGeom prst="rect">
                            <a:avLst/>
                          </a:prstGeom>
                        </pic:spPr>
                      </pic:pic>
                    </a:graphicData>
                  </a:graphic>
                </wp:inline>
              </w:drawing>
            </w:r>
          </w:p>
        </w:tc>
      </w:tr>
    </w:tbl>
    <w:p w14:paraId="0AB9B49C" w14:textId="22F29F5D" w:rsidR="007E27D2" w:rsidRDefault="00BF1486" w:rsidP="00BF1486">
      <w:pPr>
        <w:jc w:val="right"/>
        <w:rPr>
          <w:rStyle w:val="Overskrift2Tegn"/>
          <w:b w:val="0"/>
          <w:bCs/>
          <w:sz w:val="32"/>
          <w:szCs w:val="32"/>
        </w:rPr>
      </w:pPr>
      <w:bookmarkStart w:id="0" w:name="_Toc52177857"/>
      <w:r>
        <w:rPr>
          <w:rStyle w:val="Overskrift2Tegn"/>
          <w:bCs/>
          <w:sz w:val="32"/>
          <w:szCs w:val="32"/>
        </w:rPr>
        <w:t>SEPTEMBER 2020</w:t>
      </w:r>
      <w:bookmarkEnd w:id="0"/>
    </w:p>
    <w:p w14:paraId="3692305C" w14:textId="21561CEE" w:rsidR="00AA61FD" w:rsidRDefault="00AA61FD" w:rsidP="00AC10BC">
      <w:pPr>
        <w:jc w:val="right"/>
        <w:rPr>
          <w:rStyle w:val="Overskrift2Tegn"/>
          <w:b w:val="0"/>
          <w:bCs/>
          <w:sz w:val="32"/>
          <w:szCs w:val="32"/>
        </w:rPr>
      </w:pPr>
    </w:p>
    <w:p w14:paraId="78187710" w14:textId="77777777" w:rsidR="003111F8" w:rsidRDefault="003111F8">
      <w:pPr>
        <w:spacing w:after="160" w:line="259" w:lineRule="auto"/>
        <w:rPr>
          <w:b/>
          <w:bCs/>
        </w:rPr>
      </w:pPr>
      <w:r>
        <w:rPr>
          <w:b/>
          <w:bCs/>
        </w:rPr>
        <w:br w:type="page"/>
      </w:r>
    </w:p>
    <w:p w14:paraId="3996F997" w14:textId="77777777" w:rsidR="00AA61FD" w:rsidRPr="00AA61FD" w:rsidRDefault="00AA61FD" w:rsidP="00321ED5">
      <w:pPr>
        <w:jc w:val="right"/>
        <w:rPr>
          <w:rStyle w:val="Overskrift2Tegn"/>
          <w:b w:val="0"/>
          <w:bCs/>
          <w:color w:val="FF0000"/>
          <w:sz w:val="32"/>
          <w:szCs w:val="32"/>
        </w:rPr>
      </w:pPr>
    </w:p>
    <w:sdt>
      <w:sdtPr>
        <w:rPr>
          <w:rFonts w:eastAsiaTheme="majorEastAsia" w:cstheme="majorBidi"/>
          <w:b/>
          <w:bCs/>
          <w:color w:val="2E74B5" w:themeColor="accent1" w:themeShade="BF"/>
          <w:sz w:val="26"/>
          <w:szCs w:val="26"/>
        </w:rPr>
        <w:id w:val="584194437"/>
        <w:docPartObj>
          <w:docPartGallery w:val="Table of Contents"/>
          <w:docPartUnique/>
        </w:docPartObj>
      </w:sdtPr>
      <w:sdtEndPr>
        <w:rPr>
          <w:b w:val="0"/>
          <w:bCs w:val="0"/>
          <w:noProof/>
        </w:rPr>
      </w:sdtEndPr>
      <w:sdtContent>
        <w:p w14:paraId="54873195" w14:textId="77777777" w:rsidR="00AA61FD" w:rsidRPr="0057241D" w:rsidRDefault="00AA61FD" w:rsidP="00AA61FD">
          <w:pPr>
            <w:spacing w:after="200" w:line="288" w:lineRule="auto"/>
            <w:rPr>
              <w:rStyle w:val="Tittel2Tegn"/>
              <w:b w:val="0"/>
              <w:bCs/>
            </w:rPr>
          </w:pPr>
          <w:r w:rsidRPr="0057241D">
            <w:rPr>
              <w:rStyle w:val="Tittel2Tegn"/>
              <w:b w:val="0"/>
              <w:bCs/>
            </w:rPr>
            <w:t>INNHOLD</w:t>
          </w:r>
        </w:p>
        <w:p w14:paraId="79E59079" w14:textId="27DE4B7B" w:rsidR="00BF1486" w:rsidRDefault="00AA61FD">
          <w:pPr>
            <w:pStyle w:val="INNH2"/>
            <w:rPr>
              <w:rFonts w:asciiTheme="minorHAnsi" w:eastAsiaTheme="minorEastAsia" w:hAnsiTheme="minorHAnsi" w:cstheme="minorBidi"/>
              <w:iCs w:val="0"/>
              <w:noProof/>
              <w:sz w:val="22"/>
              <w:szCs w:val="22"/>
              <w:lang w:eastAsia="nb-NO"/>
            </w:rPr>
          </w:pPr>
          <w:r>
            <w:fldChar w:fldCharType="begin"/>
          </w:r>
          <w:r>
            <w:instrText xml:space="preserve"> TOC \o "1-3" \h \z \u </w:instrText>
          </w:r>
          <w:r>
            <w:fldChar w:fldCharType="separate"/>
          </w:r>
          <w:hyperlink w:anchor="_Toc52177857" w:history="1"/>
        </w:p>
        <w:p w14:paraId="76E4718F" w14:textId="7730F8C1" w:rsidR="00BF1486" w:rsidRDefault="009A6A52">
          <w:pPr>
            <w:pStyle w:val="INNH1"/>
            <w:tabs>
              <w:tab w:val="right" w:leader="dot" w:pos="9062"/>
            </w:tabs>
            <w:rPr>
              <w:rFonts w:asciiTheme="minorHAnsi" w:eastAsiaTheme="minorEastAsia" w:hAnsiTheme="minorHAnsi" w:cstheme="minorBidi"/>
              <w:bCs w:val="0"/>
              <w:noProof/>
              <w:sz w:val="22"/>
              <w:szCs w:val="22"/>
              <w:lang w:eastAsia="nb-NO"/>
            </w:rPr>
          </w:pPr>
          <w:hyperlink w:anchor="_Toc52177858" w:history="1">
            <w:r w:rsidR="00BF1486" w:rsidRPr="00C8673B">
              <w:rPr>
                <w:rStyle w:val="Hyperkobling"/>
                <w:noProof/>
              </w:rPr>
              <w:t>HOVEDFUNN</w:t>
            </w:r>
            <w:r w:rsidR="00BF1486">
              <w:rPr>
                <w:noProof/>
                <w:webHidden/>
              </w:rPr>
              <w:tab/>
            </w:r>
            <w:r w:rsidR="00BF1486">
              <w:rPr>
                <w:noProof/>
                <w:webHidden/>
              </w:rPr>
              <w:fldChar w:fldCharType="begin"/>
            </w:r>
            <w:r w:rsidR="00BF1486">
              <w:rPr>
                <w:noProof/>
                <w:webHidden/>
              </w:rPr>
              <w:instrText xml:space="preserve"> PAGEREF _Toc52177858 \h </w:instrText>
            </w:r>
            <w:r w:rsidR="00BF1486">
              <w:rPr>
                <w:noProof/>
                <w:webHidden/>
              </w:rPr>
            </w:r>
            <w:r w:rsidR="00BF1486">
              <w:rPr>
                <w:noProof/>
                <w:webHidden/>
              </w:rPr>
              <w:fldChar w:fldCharType="separate"/>
            </w:r>
            <w:r w:rsidR="00BF1486">
              <w:rPr>
                <w:noProof/>
                <w:webHidden/>
              </w:rPr>
              <w:t>4</w:t>
            </w:r>
            <w:r w:rsidR="00BF1486">
              <w:rPr>
                <w:noProof/>
                <w:webHidden/>
              </w:rPr>
              <w:fldChar w:fldCharType="end"/>
            </w:r>
          </w:hyperlink>
        </w:p>
        <w:p w14:paraId="34E561AD" w14:textId="4E7249DE" w:rsidR="00BF1486" w:rsidRDefault="009A6A52">
          <w:pPr>
            <w:pStyle w:val="INNH1"/>
            <w:tabs>
              <w:tab w:val="right" w:leader="dot" w:pos="9062"/>
            </w:tabs>
            <w:rPr>
              <w:rFonts w:asciiTheme="minorHAnsi" w:eastAsiaTheme="minorEastAsia" w:hAnsiTheme="minorHAnsi" w:cstheme="minorBidi"/>
              <w:bCs w:val="0"/>
              <w:noProof/>
              <w:sz w:val="22"/>
              <w:szCs w:val="22"/>
              <w:lang w:eastAsia="nb-NO"/>
            </w:rPr>
          </w:pPr>
          <w:hyperlink w:anchor="_Toc52177859" w:history="1">
            <w:r w:rsidR="00BF1486" w:rsidRPr="00C8673B">
              <w:rPr>
                <w:rStyle w:val="Hyperkobling"/>
                <w:noProof/>
              </w:rPr>
              <w:t>SMB-SEGMENTET OG FORMUESSKATTEN I 2020</w:t>
            </w:r>
            <w:r w:rsidR="00BF1486">
              <w:rPr>
                <w:noProof/>
                <w:webHidden/>
              </w:rPr>
              <w:tab/>
            </w:r>
            <w:r w:rsidR="00BF1486">
              <w:rPr>
                <w:noProof/>
                <w:webHidden/>
              </w:rPr>
              <w:fldChar w:fldCharType="begin"/>
            </w:r>
            <w:r w:rsidR="00BF1486">
              <w:rPr>
                <w:noProof/>
                <w:webHidden/>
              </w:rPr>
              <w:instrText xml:space="preserve"> PAGEREF _Toc52177859 \h </w:instrText>
            </w:r>
            <w:r w:rsidR="00BF1486">
              <w:rPr>
                <w:noProof/>
                <w:webHidden/>
              </w:rPr>
            </w:r>
            <w:r w:rsidR="00BF1486">
              <w:rPr>
                <w:noProof/>
                <w:webHidden/>
              </w:rPr>
              <w:fldChar w:fldCharType="separate"/>
            </w:r>
            <w:r w:rsidR="00BF1486">
              <w:rPr>
                <w:noProof/>
                <w:webHidden/>
              </w:rPr>
              <w:t>6</w:t>
            </w:r>
            <w:r w:rsidR="00BF1486">
              <w:rPr>
                <w:noProof/>
                <w:webHidden/>
              </w:rPr>
              <w:fldChar w:fldCharType="end"/>
            </w:r>
          </w:hyperlink>
        </w:p>
        <w:p w14:paraId="5EE104E2" w14:textId="3FD8276F" w:rsidR="00BF1486" w:rsidRDefault="009A6A52">
          <w:pPr>
            <w:pStyle w:val="INNH3"/>
            <w:tabs>
              <w:tab w:val="right" w:leader="dot" w:pos="9062"/>
            </w:tabs>
            <w:rPr>
              <w:rFonts w:eastAsiaTheme="minorEastAsia" w:cstheme="minorBidi"/>
              <w:noProof/>
              <w:sz w:val="22"/>
              <w:szCs w:val="22"/>
              <w:lang w:eastAsia="nb-NO"/>
            </w:rPr>
          </w:pPr>
          <w:hyperlink w:anchor="_Toc52177860" w:history="1">
            <w:r w:rsidR="00BF1486" w:rsidRPr="00C8673B">
              <w:rPr>
                <w:rStyle w:val="Hyperkobling"/>
                <w:noProof/>
              </w:rPr>
              <w:t>Formuesskattens omfang for SMB-segmentet</w:t>
            </w:r>
            <w:r w:rsidR="00BF1486">
              <w:rPr>
                <w:noProof/>
                <w:webHidden/>
              </w:rPr>
              <w:tab/>
            </w:r>
            <w:r w:rsidR="00BF1486">
              <w:rPr>
                <w:noProof/>
                <w:webHidden/>
              </w:rPr>
              <w:fldChar w:fldCharType="begin"/>
            </w:r>
            <w:r w:rsidR="00BF1486">
              <w:rPr>
                <w:noProof/>
                <w:webHidden/>
              </w:rPr>
              <w:instrText xml:space="preserve"> PAGEREF _Toc52177860 \h </w:instrText>
            </w:r>
            <w:r w:rsidR="00BF1486">
              <w:rPr>
                <w:noProof/>
                <w:webHidden/>
              </w:rPr>
            </w:r>
            <w:r w:rsidR="00BF1486">
              <w:rPr>
                <w:noProof/>
                <w:webHidden/>
              </w:rPr>
              <w:fldChar w:fldCharType="separate"/>
            </w:r>
            <w:r w:rsidR="00BF1486">
              <w:rPr>
                <w:noProof/>
                <w:webHidden/>
              </w:rPr>
              <w:t>6</w:t>
            </w:r>
            <w:r w:rsidR="00BF1486">
              <w:rPr>
                <w:noProof/>
                <w:webHidden/>
              </w:rPr>
              <w:fldChar w:fldCharType="end"/>
            </w:r>
          </w:hyperlink>
        </w:p>
        <w:p w14:paraId="79854689" w14:textId="02BC7567" w:rsidR="00BF1486" w:rsidRDefault="009A6A52">
          <w:pPr>
            <w:pStyle w:val="INNH3"/>
            <w:tabs>
              <w:tab w:val="right" w:leader="dot" w:pos="9062"/>
            </w:tabs>
            <w:rPr>
              <w:rFonts w:eastAsiaTheme="minorEastAsia" w:cstheme="minorBidi"/>
              <w:noProof/>
              <w:sz w:val="22"/>
              <w:szCs w:val="22"/>
              <w:lang w:eastAsia="nb-NO"/>
            </w:rPr>
          </w:pPr>
          <w:hyperlink w:anchor="_Toc52177861" w:history="1">
            <w:r w:rsidR="00BF1486" w:rsidRPr="00C8673B">
              <w:rPr>
                <w:rStyle w:val="Hyperkobling"/>
                <w:rFonts w:cs="Calibri"/>
                <w:noProof/>
              </w:rPr>
              <w:t xml:space="preserve">Skattebidraget fra SMB-segmentet </w:t>
            </w:r>
            <w:r w:rsidR="00BF1486" w:rsidRPr="00C8673B">
              <w:rPr>
                <w:rStyle w:val="Hyperkobling"/>
                <w:noProof/>
              </w:rPr>
              <w:t>og</w:t>
            </w:r>
            <w:r w:rsidR="00BF1486" w:rsidRPr="00C8673B">
              <w:rPr>
                <w:rStyle w:val="Hyperkobling"/>
                <w:rFonts w:cs="Calibri"/>
                <w:noProof/>
              </w:rPr>
              <w:t xml:space="preserve"> personer med moderat kapitalbeholdning</w:t>
            </w:r>
            <w:r w:rsidR="00BF1486">
              <w:rPr>
                <w:noProof/>
                <w:webHidden/>
              </w:rPr>
              <w:tab/>
            </w:r>
            <w:r w:rsidR="00BF1486">
              <w:rPr>
                <w:noProof/>
                <w:webHidden/>
              </w:rPr>
              <w:fldChar w:fldCharType="begin"/>
            </w:r>
            <w:r w:rsidR="00BF1486">
              <w:rPr>
                <w:noProof/>
                <w:webHidden/>
              </w:rPr>
              <w:instrText xml:space="preserve"> PAGEREF _Toc52177861 \h </w:instrText>
            </w:r>
            <w:r w:rsidR="00BF1486">
              <w:rPr>
                <w:noProof/>
                <w:webHidden/>
              </w:rPr>
            </w:r>
            <w:r w:rsidR="00BF1486">
              <w:rPr>
                <w:noProof/>
                <w:webHidden/>
              </w:rPr>
              <w:fldChar w:fldCharType="separate"/>
            </w:r>
            <w:r w:rsidR="00BF1486">
              <w:rPr>
                <w:noProof/>
                <w:webHidden/>
              </w:rPr>
              <w:t>11</w:t>
            </w:r>
            <w:r w:rsidR="00BF1486">
              <w:rPr>
                <w:noProof/>
                <w:webHidden/>
              </w:rPr>
              <w:fldChar w:fldCharType="end"/>
            </w:r>
          </w:hyperlink>
        </w:p>
        <w:p w14:paraId="08F00051" w14:textId="48C56139" w:rsidR="00BF1486" w:rsidRDefault="009A6A52">
          <w:pPr>
            <w:pStyle w:val="INNH3"/>
            <w:tabs>
              <w:tab w:val="right" w:leader="dot" w:pos="9062"/>
            </w:tabs>
            <w:rPr>
              <w:rFonts w:eastAsiaTheme="minorEastAsia" w:cstheme="minorBidi"/>
              <w:noProof/>
              <w:sz w:val="22"/>
              <w:szCs w:val="22"/>
              <w:lang w:eastAsia="nb-NO"/>
            </w:rPr>
          </w:pPr>
          <w:hyperlink w:anchor="_Toc52177862" w:history="1">
            <w:r w:rsidR="00BF1486" w:rsidRPr="00C8673B">
              <w:rPr>
                <w:rStyle w:val="Hyperkobling"/>
                <w:noProof/>
              </w:rPr>
              <w:t>Sysselsetting og formuesskatteposisjoner</w:t>
            </w:r>
            <w:r w:rsidR="00BF1486">
              <w:rPr>
                <w:noProof/>
                <w:webHidden/>
              </w:rPr>
              <w:tab/>
            </w:r>
            <w:r w:rsidR="00BF1486">
              <w:rPr>
                <w:noProof/>
                <w:webHidden/>
              </w:rPr>
              <w:fldChar w:fldCharType="begin"/>
            </w:r>
            <w:r w:rsidR="00BF1486">
              <w:rPr>
                <w:noProof/>
                <w:webHidden/>
              </w:rPr>
              <w:instrText xml:space="preserve"> PAGEREF _Toc52177862 \h </w:instrText>
            </w:r>
            <w:r w:rsidR="00BF1486">
              <w:rPr>
                <w:noProof/>
                <w:webHidden/>
              </w:rPr>
            </w:r>
            <w:r w:rsidR="00BF1486">
              <w:rPr>
                <w:noProof/>
                <w:webHidden/>
              </w:rPr>
              <w:fldChar w:fldCharType="separate"/>
            </w:r>
            <w:r w:rsidR="00BF1486">
              <w:rPr>
                <w:noProof/>
                <w:webHidden/>
              </w:rPr>
              <w:t>13</w:t>
            </w:r>
            <w:r w:rsidR="00BF1486">
              <w:rPr>
                <w:noProof/>
                <w:webHidden/>
              </w:rPr>
              <w:fldChar w:fldCharType="end"/>
            </w:r>
          </w:hyperlink>
        </w:p>
        <w:p w14:paraId="7A48D15B" w14:textId="71F4B757" w:rsidR="00BF1486" w:rsidRDefault="009A6A52">
          <w:pPr>
            <w:pStyle w:val="INNH1"/>
            <w:tabs>
              <w:tab w:val="right" w:leader="dot" w:pos="9062"/>
            </w:tabs>
            <w:rPr>
              <w:rFonts w:asciiTheme="minorHAnsi" w:eastAsiaTheme="minorEastAsia" w:hAnsiTheme="minorHAnsi" w:cstheme="minorBidi"/>
              <w:bCs w:val="0"/>
              <w:noProof/>
              <w:sz w:val="22"/>
              <w:szCs w:val="22"/>
              <w:lang w:eastAsia="nb-NO"/>
            </w:rPr>
          </w:pPr>
          <w:hyperlink w:anchor="_Toc52177863" w:history="1">
            <w:r w:rsidR="00BF1486" w:rsidRPr="00C8673B">
              <w:rPr>
                <w:rStyle w:val="Hyperkobling"/>
                <w:noProof/>
              </w:rPr>
              <w:t>EGENKAPITAL OG SMG-SEGMENTET</w:t>
            </w:r>
            <w:r w:rsidR="00BF1486">
              <w:rPr>
                <w:noProof/>
                <w:webHidden/>
              </w:rPr>
              <w:tab/>
            </w:r>
            <w:r w:rsidR="00BF1486">
              <w:rPr>
                <w:noProof/>
                <w:webHidden/>
              </w:rPr>
              <w:fldChar w:fldCharType="begin"/>
            </w:r>
            <w:r w:rsidR="00BF1486">
              <w:rPr>
                <w:noProof/>
                <w:webHidden/>
              </w:rPr>
              <w:instrText xml:space="preserve"> PAGEREF _Toc52177863 \h </w:instrText>
            </w:r>
            <w:r w:rsidR="00BF1486">
              <w:rPr>
                <w:noProof/>
                <w:webHidden/>
              </w:rPr>
            </w:r>
            <w:r w:rsidR="00BF1486">
              <w:rPr>
                <w:noProof/>
                <w:webHidden/>
              </w:rPr>
              <w:fldChar w:fldCharType="separate"/>
            </w:r>
            <w:r w:rsidR="00BF1486">
              <w:rPr>
                <w:noProof/>
                <w:webHidden/>
              </w:rPr>
              <w:t>16</w:t>
            </w:r>
            <w:r w:rsidR="00BF1486">
              <w:rPr>
                <w:noProof/>
                <w:webHidden/>
              </w:rPr>
              <w:fldChar w:fldCharType="end"/>
            </w:r>
          </w:hyperlink>
        </w:p>
        <w:p w14:paraId="56947729" w14:textId="511EE516" w:rsidR="00BF1486" w:rsidRDefault="009A6A52">
          <w:pPr>
            <w:pStyle w:val="INNH3"/>
            <w:tabs>
              <w:tab w:val="right" w:leader="dot" w:pos="9062"/>
            </w:tabs>
            <w:rPr>
              <w:rFonts w:eastAsiaTheme="minorEastAsia" w:cstheme="minorBidi"/>
              <w:noProof/>
              <w:sz w:val="22"/>
              <w:szCs w:val="22"/>
              <w:lang w:eastAsia="nb-NO"/>
            </w:rPr>
          </w:pPr>
          <w:hyperlink w:anchor="_Toc52177864" w:history="1">
            <w:r w:rsidR="00BF1486" w:rsidRPr="00C8673B">
              <w:rPr>
                <w:rStyle w:val="Hyperkobling"/>
                <w:noProof/>
              </w:rPr>
              <w:t>Egenkapitalemisjoner fordelt etter bedriftsstørrelse og kapitalkilde</w:t>
            </w:r>
            <w:r w:rsidR="00BF1486">
              <w:rPr>
                <w:noProof/>
                <w:webHidden/>
              </w:rPr>
              <w:tab/>
            </w:r>
            <w:r w:rsidR="00BF1486">
              <w:rPr>
                <w:noProof/>
                <w:webHidden/>
              </w:rPr>
              <w:fldChar w:fldCharType="begin"/>
            </w:r>
            <w:r w:rsidR="00BF1486">
              <w:rPr>
                <w:noProof/>
                <w:webHidden/>
              </w:rPr>
              <w:instrText xml:space="preserve"> PAGEREF _Toc52177864 \h </w:instrText>
            </w:r>
            <w:r w:rsidR="00BF1486">
              <w:rPr>
                <w:noProof/>
                <w:webHidden/>
              </w:rPr>
            </w:r>
            <w:r w:rsidR="00BF1486">
              <w:rPr>
                <w:noProof/>
                <w:webHidden/>
              </w:rPr>
              <w:fldChar w:fldCharType="separate"/>
            </w:r>
            <w:r w:rsidR="00BF1486">
              <w:rPr>
                <w:noProof/>
                <w:webHidden/>
              </w:rPr>
              <w:t>18</w:t>
            </w:r>
            <w:r w:rsidR="00BF1486">
              <w:rPr>
                <w:noProof/>
                <w:webHidden/>
              </w:rPr>
              <w:fldChar w:fldCharType="end"/>
            </w:r>
          </w:hyperlink>
        </w:p>
        <w:p w14:paraId="21D3B71C" w14:textId="798870D1" w:rsidR="00BF1486" w:rsidRDefault="009A6A52">
          <w:pPr>
            <w:pStyle w:val="INNH3"/>
            <w:tabs>
              <w:tab w:val="right" w:leader="dot" w:pos="9062"/>
            </w:tabs>
            <w:rPr>
              <w:rFonts w:eastAsiaTheme="minorEastAsia" w:cstheme="minorBidi"/>
              <w:noProof/>
              <w:sz w:val="22"/>
              <w:szCs w:val="22"/>
              <w:lang w:eastAsia="nb-NO"/>
            </w:rPr>
          </w:pPr>
          <w:hyperlink w:anchor="_Toc52177866" w:history="1">
            <w:r w:rsidR="00BF1486" w:rsidRPr="00C8673B">
              <w:rPr>
                <w:rStyle w:val="Hyperkobling"/>
                <w:noProof/>
              </w:rPr>
              <w:t>Norsk og utenlandsk eierskap</w:t>
            </w:r>
            <w:r w:rsidR="00BF1486">
              <w:rPr>
                <w:noProof/>
                <w:webHidden/>
              </w:rPr>
              <w:tab/>
            </w:r>
            <w:r w:rsidR="00BF1486">
              <w:rPr>
                <w:noProof/>
                <w:webHidden/>
              </w:rPr>
              <w:fldChar w:fldCharType="begin"/>
            </w:r>
            <w:r w:rsidR="00BF1486">
              <w:rPr>
                <w:noProof/>
                <w:webHidden/>
              </w:rPr>
              <w:instrText xml:space="preserve"> PAGEREF _Toc52177866 \h </w:instrText>
            </w:r>
            <w:r w:rsidR="00BF1486">
              <w:rPr>
                <w:noProof/>
                <w:webHidden/>
              </w:rPr>
            </w:r>
            <w:r w:rsidR="00BF1486">
              <w:rPr>
                <w:noProof/>
                <w:webHidden/>
              </w:rPr>
              <w:fldChar w:fldCharType="separate"/>
            </w:r>
            <w:r w:rsidR="00BF1486">
              <w:rPr>
                <w:noProof/>
                <w:webHidden/>
              </w:rPr>
              <w:t>27</w:t>
            </w:r>
            <w:r w:rsidR="00BF1486">
              <w:rPr>
                <w:noProof/>
                <w:webHidden/>
              </w:rPr>
              <w:fldChar w:fldCharType="end"/>
            </w:r>
          </w:hyperlink>
        </w:p>
        <w:p w14:paraId="522470FB" w14:textId="25D85D42" w:rsidR="00BF1486" w:rsidRDefault="009A6A52">
          <w:pPr>
            <w:pStyle w:val="INNH1"/>
            <w:tabs>
              <w:tab w:val="right" w:leader="dot" w:pos="9062"/>
            </w:tabs>
            <w:rPr>
              <w:rFonts w:asciiTheme="minorHAnsi" w:eastAsiaTheme="minorEastAsia" w:hAnsiTheme="minorHAnsi" w:cstheme="minorBidi"/>
              <w:bCs w:val="0"/>
              <w:noProof/>
              <w:sz w:val="22"/>
              <w:szCs w:val="22"/>
              <w:lang w:eastAsia="nb-NO"/>
            </w:rPr>
          </w:pPr>
          <w:hyperlink w:anchor="_Toc52177867" w:history="1">
            <w:r w:rsidR="00BF1486" w:rsidRPr="00C8673B">
              <w:rPr>
                <w:rStyle w:val="Hyperkobling"/>
                <w:caps/>
                <w:noProof/>
              </w:rPr>
              <w:t>Betydningen av SMB-bedrifter i økonomien</w:t>
            </w:r>
            <w:r w:rsidR="00BF1486">
              <w:rPr>
                <w:noProof/>
                <w:webHidden/>
              </w:rPr>
              <w:tab/>
            </w:r>
            <w:r w:rsidR="00BF1486">
              <w:rPr>
                <w:noProof/>
                <w:webHidden/>
              </w:rPr>
              <w:fldChar w:fldCharType="begin"/>
            </w:r>
            <w:r w:rsidR="00BF1486">
              <w:rPr>
                <w:noProof/>
                <w:webHidden/>
              </w:rPr>
              <w:instrText xml:space="preserve"> PAGEREF _Toc52177867 \h </w:instrText>
            </w:r>
            <w:r w:rsidR="00BF1486">
              <w:rPr>
                <w:noProof/>
                <w:webHidden/>
              </w:rPr>
            </w:r>
            <w:r w:rsidR="00BF1486">
              <w:rPr>
                <w:noProof/>
                <w:webHidden/>
              </w:rPr>
              <w:fldChar w:fldCharType="separate"/>
            </w:r>
            <w:r w:rsidR="00BF1486">
              <w:rPr>
                <w:noProof/>
                <w:webHidden/>
              </w:rPr>
              <w:t>30</w:t>
            </w:r>
            <w:r w:rsidR="00BF1486">
              <w:rPr>
                <w:noProof/>
                <w:webHidden/>
              </w:rPr>
              <w:fldChar w:fldCharType="end"/>
            </w:r>
          </w:hyperlink>
        </w:p>
        <w:p w14:paraId="5B0F35C8" w14:textId="57C141A3" w:rsidR="00BF1486" w:rsidRDefault="009A6A52">
          <w:pPr>
            <w:pStyle w:val="INNH3"/>
            <w:tabs>
              <w:tab w:val="right" w:leader="dot" w:pos="9062"/>
            </w:tabs>
            <w:rPr>
              <w:rFonts w:eastAsiaTheme="minorEastAsia" w:cstheme="minorBidi"/>
              <w:noProof/>
              <w:sz w:val="22"/>
              <w:szCs w:val="22"/>
              <w:lang w:eastAsia="nb-NO"/>
            </w:rPr>
          </w:pPr>
          <w:hyperlink w:anchor="_Toc52177868" w:history="1">
            <w:r w:rsidR="00BF1486" w:rsidRPr="00C8673B">
              <w:rPr>
                <w:rStyle w:val="Hyperkobling"/>
                <w:noProof/>
              </w:rPr>
              <w:t>Sysselsetting</w:t>
            </w:r>
            <w:r w:rsidR="00BF1486">
              <w:rPr>
                <w:noProof/>
                <w:webHidden/>
              </w:rPr>
              <w:tab/>
            </w:r>
            <w:r w:rsidR="00BF1486">
              <w:rPr>
                <w:noProof/>
                <w:webHidden/>
              </w:rPr>
              <w:fldChar w:fldCharType="begin"/>
            </w:r>
            <w:r w:rsidR="00BF1486">
              <w:rPr>
                <w:noProof/>
                <w:webHidden/>
              </w:rPr>
              <w:instrText xml:space="preserve"> PAGEREF _Toc52177868 \h </w:instrText>
            </w:r>
            <w:r w:rsidR="00BF1486">
              <w:rPr>
                <w:noProof/>
                <w:webHidden/>
              </w:rPr>
            </w:r>
            <w:r w:rsidR="00BF1486">
              <w:rPr>
                <w:noProof/>
                <w:webHidden/>
              </w:rPr>
              <w:fldChar w:fldCharType="separate"/>
            </w:r>
            <w:r w:rsidR="00BF1486">
              <w:rPr>
                <w:noProof/>
                <w:webHidden/>
              </w:rPr>
              <w:t>31</w:t>
            </w:r>
            <w:r w:rsidR="00BF1486">
              <w:rPr>
                <w:noProof/>
                <w:webHidden/>
              </w:rPr>
              <w:fldChar w:fldCharType="end"/>
            </w:r>
          </w:hyperlink>
        </w:p>
        <w:p w14:paraId="718F295F" w14:textId="573E50CF" w:rsidR="00BF1486" w:rsidRDefault="009A6A52">
          <w:pPr>
            <w:pStyle w:val="INNH3"/>
            <w:tabs>
              <w:tab w:val="right" w:leader="dot" w:pos="9062"/>
            </w:tabs>
            <w:rPr>
              <w:rFonts w:eastAsiaTheme="minorEastAsia" w:cstheme="minorBidi"/>
              <w:noProof/>
              <w:sz w:val="22"/>
              <w:szCs w:val="22"/>
              <w:lang w:eastAsia="nb-NO"/>
            </w:rPr>
          </w:pPr>
          <w:hyperlink w:anchor="_Toc52177869" w:history="1">
            <w:r w:rsidR="00BF1486" w:rsidRPr="00C8673B">
              <w:rPr>
                <w:rStyle w:val="Hyperkobling"/>
                <w:noProof/>
              </w:rPr>
              <w:t>Omsetning</w:t>
            </w:r>
            <w:r w:rsidR="00BF1486">
              <w:rPr>
                <w:noProof/>
                <w:webHidden/>
              </w:rPr>
              <w:tab/>
            </w:r>
            <w:r w:rsidR="00BF1486">
              <w:rPr>
                <w:noProof/>
                <w:webHidden/>
              </w:rPr>
              <w:fldChar w:fldCharType="begin"/>
            </w:r>
            <w:r w:rsidR="00BF1486">
              <w:rPr>
                <w:noProof/>
                <w:webHidden/>
              </w:rPr>
              <w:instrText xml:space="preserve"> PAGEREF _Toc52177869 \h </w:instrText>
            </w:r>
            <w:r w:rsidR="00BF1486">
              <w:rPr>
                <w:noProof/>
                <w:webHidden/>
              </w:rPr>
            </w:r>
            <w:r w:rsidR="00BF1486">
              <w:rPr>
                <w:noProof/>
                <w:webHidden/>
              </w:rPr>
              <w:fldChar w:fldCharType="separate"/>
            </w:r>
            <w:r w:rsidR="00BF1486">
              <w:rPr>
                <w:noProof/>
                <w:webHidden/>
              </w:rPr>
              <w:t>33</w:t>
            </w:r>
            <w:r w:rsidR="00BF1486">
              <w:rPr>
                <w:noProof/>
                <w:webHidden/>
              </w:rPr>
              <w:fldChar w:fldCharType="end"/>
            </w:r>
          </w:hyperlink>
        </w:p>
        <w:p w14:paraId="1C331B0C" w14:textId="607D1BE0" w:rsidR="00BF1486" w:rsidRDefault="009A6A52">
          <w:pPr>
            <w:pStyle w:val="INNH3"/>
            <w:tabs>
              <w:tab w:val="right" w:leader="dot" w:pos="9062"/>
            </w:tabs>
            <w:rPr>
              <w:rFonts w:eastAsiaTheme="minorEastAsia" w:cstheme="minorBidi"/>
              <w:noProof/>
              <w:sz w:val="22"/>
              <w:szCs w:val="22"/>
              <w:lang w:eastAsia="nb-NO"/>
            </w:rPr>
          </w:pPr>
          <w:hyperlink w:anchor="_Toc52177870" w:history="1">
            <w:r w:rsidR="00BF1486" w:rsidRPr="00C8673B">
              <w:rPr>
                <w:rStyle w:val="Hyperkobling"/>
                <w:noProof/>
              </w:rPr>
              <w:t>Næringsfordeling</w:t>
            </w:r>
            <w:r w:rsidR="00BF1486">
              <w:rPr>
                <w:noProof/>
                <w:webHidden/>
              </w:rPr>
              <w:tab/>
            </w:r>
            <w:r w:rsidR="00BF1486">
              <w:rPr>
                <w:noProof/>
                <w:webHidden/>
              </w:rPr>
              <w:fldChar w:fldCharType="begin"/>
            </w:r>
            <w:r w:rsidR="00BF1486">
              <w:rPr>
                <w:noProof/>
                <w:webHidden/>
              </w:rPr>
              <w:instrText xml:space="preserve"> PAGEREF _Toc52177870 \h </w:instrText>
            </w:r>
            <w:r w:rsidR="00BF1486">
              <w:rPr>
                <w:noProof/>
                <w:webHidden/>
              </w:rPr>
            </w:r>
            <w:r w:rsidR="00BF1486">
              <w:rPr>
                <w:noProof/>
                <w:webHidden/>
              </w:rPr>
              <w:fldChar w:fldCharType="separate"/>
            </w:r>
            <w:r w:rsidR="00BF1486">
              <w:rPr>
                <w:noProof/>
                <w:webHidden/>
              </w:rPr>
              <w:t>35</w:t>
            </w:r>
            <w:r w:rsidR="00BF1486">
              <w:rPr>
                <w:noProof/>
                <w:webHidden/>
              </w:rPr>
              <w:fldChar w:fldCharType="end"/>
            </w:r>
          </w:hyperlink>
        </w:p>
        <w:p w14:paraId="6FA166CF" w14:textId="10D1E366" w:rsidR="00BF1486" w:rsidRDefault="009A6A52">
          <w:pPr>
            <w:pStyle w:val="INNH1"/>
            <w:tabs>
              <w:tab w:val="right" w:leader="dot" w:pos="9062"/>
            </w:tabs>
            <w:rPr>
              <w:rFonts w:asciiTheme="minorHAnsi" w:eastAsiaTheme="minorEastAsia" w:hAnsiTheme="minorHAnsi" w:cstheme="minorBidi"/>
              <w:bCs w:val="0"/>
              <w:noProof/>
              <w:sz w:val="22"/>
              <w:szCs w:val="22"/>
              <w:lang w:eastAsia="nb-NO"/>
            </w:rPr>
          </w:pPr>
          <w:hyperlink w:anchor="_Toc52177871" w:history="1">
            <w:r w:rsidR="00BF1486" w:rsidRPr="00C8673B">
              <w:rPr>
                <w:rStyle w:val="Hyperkobling"/>
                <w:noProof/>
              </w:rPr>
              <w:t>APPENDIKS</w:t>
            </w:r>
            <w:r w:rsidR="00BF1486">
              <w:rPr>
                <w:noProof/>
                <w:webHidden/>
              </w:rPr>
              <w:tab/>
            </w:r>
            <w:r w:rsidR="00BF1486">
              <w:rPr>
                <w:noProof/>
                <w:webHidden/>
              </w:rPr>
              <w:fldChar w:fldCharType="begin"/>
            </w:r>
            <w:r w:rsidR="00BF1486">
              <w:rPr>
                <w:noProof/>
                <w:webHidden/>
              </w:rPr>
              <w:instrText xml:space="preserve"> PAGEREF _Toc52177871 \h </w:instrText>
            </w:r>
            <w:r w:rsidR="00BF1486">
              <w:rPr>
                <w:noProof/>
                <w:webHidden/>
              </w:rPr>
            </w:r>
            <w:r w:rsidR="00BF1486">
              <w:rPr>
                <w:noProof/>
                <w:webHidden/>
              </w:rPr>
              <w:fldChar w:fldCharType="separate"/>
            </w:r>
            <w:r w:rsidR="00BF1486">
              <w:rPr>
                <w:noProof/>
                <w:webHidden/>
              </w:rPr>
              <w:t>37</w:t>
            </w:r>
            <w:r w:rsidR="00BF1486">
              <w:rPr>
                <w:noProof/>
                <w:webHidden/>
              </w:rPr>
              <w:fldChar w:fldCharType="end"/>
            </w:r>
          </w:hyperlink>
        </w:p>
        <w:p w14:paraId="77D66EF3" w14:textId="1DF21008" w:rsidR="00AA61FD" w:rsidRPr="000F5167" w:rsidRDefault="00AA61FD" w:rsidP="00AA61FD">
          <w:r>
            <w:rPr>
              <w:rFonts w:cstheme="minorHAnsi"/>
              <w:szCs w:val="20"/>
            </w:rPr>
            <w:fldChar w:fldCharType="end"/>
          </w:r>
        </w:p>
      </w:sdtContent>
    </w:sdt>
    <w:p w14:paraId="786B5A2F" w14:textId="77777777" w:rsidR="00AA61FD" w:rsidRPr="000F5167" w:rsidRDefault="00AA61FD" w:rsidP="00AA61FD">
      <w:pPr>
        <w:pStyle w:val="Tittel2"/>
        <w:ind w:right="454"/>
        <w:rPr>
          <w:sz w:val="24"/>
        </w:rPr>
      </w:pPr>
    </w:p>
    <w:p w14:paraId="496FAB4B" w14:textId="77777777" w:rsidR="00AA61FD" w:rsidRDefault="00AA61FD" w:rsidP="00AA61FD">
      <w:pPr>
        <w:pStyle w:val="Tittel2"/>
      </w:pPr>
    </w:p>
    <w:p w14:paraId="5C0B3D94" w14:textId="77777777" w:rsidR="00AA61FD" w:rsidRDefault="00AA61FD" w:rsidP="00AA61FD">
      <w:pPr>
        <w:pStyle w:val="Tittel2"/>
      </w:pPr>
    </w:p>
    <w:p w14:paraId="36462EBB" w14:textId="77777777" w:rsidR="00AA61FD" w:rsidRDefault="00AA61FD" w:rsidP="00AA61FD">
      <w:pPr>
        <w:pStyle w:val="Tittel2"/>
      </w:pPr>
    </w:p>
    <w:p w14:paraId="3D7B9F37" w14:textId="77777777" w:rsidR="00AA61FD" w:rsidRDefault="00AA61FD" w:rsidP="00AA61FD">
      <w:pPr>
        <w:spacing w:line="240" w:lineRule="auto"/>
        <w:rPr>
          <w:b/>
          <w:iCs/>
          <w:color w:val="2E74B5" w:themeColor="accent1" w:themeShade="BF"/>
          <w:sz w:val="28"/>
        </w:rPr>
      </w:pPr>
      <w:r>
        <w:br w:type="page"/>
      </w:r>
    </w:p>
    <w:p w14:paraId="4A97CE4E" w14:textId="77777777" w:rsidR="00AA61FD" w:rsidRPr="0057241D" w:rsidRDefault="00AA61FD" w:rsidP="00AA61FD">
      <w:pPr>
        <w:pStyle w:val="Tittel2"/>
      </w:pPr>
      <w:r w:rsidRPr="0057241D">
        <w:lastRenderedPageBreak/>
        <w:t>OM RAPPORTEN</w:t>
      </w:r>
    </w:p>
    <w:p w14:paraId="705B5203" w14:textId="77777777" w:rsidR="00AA61FD" w:rsidRPr="00860B7F" w:rsidRDefault="00AA61FD" w:rsidP="00AA61FD">
      <w:pPr>
        <w:jc w:val="both"/>
        <w:rPr>
          <w:szCs w:val="21"/>
        </w:rPr>
      </w:pPr>
    </w:p>
    <w:p w14:paraId="63617704" w14:textId="77777777" w:rsidR="005F0A28" w:rsidRDefault="00AA61FD" w:rsidP="00AA61FD">
      <w:pPr>
        <w:jc w:val="both"/>
        <w:rPr>
          <w:szCs w:val="21"/>
        </w:rPr>
      </w:pPr>
      <w:r>
        <w:rPr>
          <w:szCs w:val="21"/>
        </w:rPr>
        <w:t xml:space="preserve">Medlemsbedriftene til SMB Norge har et bredt og langvarig engasjement i å få avviklet formuesskatten på næringsrelatert kapital, også omtalt som formuesskatt på arbeidende kapital. Som et bidrag til det faglige grunnlaget </w:t>
      </w:r>
      <w:r w:rsidR="00CF0856">
        <w:rPr>
          <w:szCs w:val="21"/>
        </w:rPr>
        <w:t>i</w:t>
      </w:r>
      <w:r>
        <w:rPr>
          <w:szCs w:val="21"/>
        </w:rPr>
        <w:t xml:space="preserve"> formuesskattedebatten har SMB Norge bestilt en rapport som sammenstiller </w:t>
      </w:r>
      <w:r w:rsidR="004E402A">
        <w:rPr>
          <w:szCs w:val="21"/>
        </w:rPr>
        <w:t xml:space="preserve">relevant </w:t>
      </w:r>
      <w:r>
        <w:rPr>
          <w:szCs w:val="21"/>
        </w:rPr>
        <w:t xml:space="preserve">statistikk og forbedrer kunnskapsgrunnlaget om formuesskatt og verdiskaping, </w:t>
      </w:r>
      <w:r w:rsidR="004E402A">
        <w:rPr>
          <w:szCs w:val="21"/>
        </w:rPr>
        <w:t>med et hovedfokus på SMB-segmentet</w:t>
      </w:r>
      <w:r>
        <w:rPr>
          <w:szCs w:val="21"/>
        </w:rPr>
        <w:t xml:space="preserve">. </w:t>
      </w:r>
    </w:p>
    <w:p w14:paraId="5568BE90" w14:textId="77777777" w:rsidR="00BF1486" w:rsidRDefault="00BF1486" w:rsidP="00AA61FD">
      <w:pPr>
        <w:jc w:val="both"/>
        <w:rPr>
          <w:szCs w:val="21"/>
        </w:rPr>
      </w:pPr>
    </w:p>
    <w:p w14:paraId="42ACFBFD" w14:textId="0ABF9EBB" w:rsidR="00AA61FD" w:rsidRDefault="00AA61FD" w:rsidP="00AA61FD">
      <w:pPr>
        <w:jc w:val="both"/>
        <w:rPr>
          <w:szCs w:val="21"/>
        </w:rPr>
      </w:pPr>
      <w:r>
        <w:rPr>
          <w:szCs w:val="21"/>
        </w:rPr>
        <w:t xml:space="preserve">Rapporten inneholder ny empirisk data om egenkapitaltilgang etter finansieringskilde for ulike bedriftsgrupper, som er utarbeidet av </w:t>
      </w:r>
      <w:r w:rsidR="008E347D">
        <w:rPr>
          <w:szCs w:val="21"/>
        </w:rPr>
        <w:t>p</w:t>
      </w:r>
      <w:r>
        <w:rPr>
          <w:szCs w:val="21"/>
        </w:rPr>
        <w:t>rofessor Amir Sasson på B</w:t>
      </w:r>
      <w:r w:rsidR="005809A0">
        <w:rPr>
          <w:szCs w:val="21"/>
        </w:rPr>
        <w:t>I</w:t>
      </w:r>
      <w:r>
        <w:rPr>
          <w:szCs w:val="21"/>
        </w:rPr>
        <w:t xml:space="preserve">. </w:t>
      </w:r>
      <w:r w:rsidR="004E402A">
        <w:rPr>
          <w:szCs w:val="21"/>
        </w:rPr>
        <w:t xml:space="preserve">Dette empiriske grunnlaget viser at </w:t>
      </w:r>
      <w:r w:rsidR="005F0A28">
        <w:rPr>
          <w:szCs w:val="21"/>
        </w:rPr>
        <w:t xml:space="preserve">norsk privat kapital uten sammenligning </w:t>
      </w:r>
      <w:r w:rsidR="00FE7FDD">
        <w:rPr>
          <w:szCs w:val="21"/>
        </w:rPr>
        <w:t xml:space="preserve">er </w:t>
      </w:r>
      <w:r w:rsidR="004E402A">
        <w:rPr>
          <w:szCs w:val="21"/>
        </w:rPr>
        <w:t xml:space="preserve">hovedkilden </w:t>
      </w:r>
      <w:r w:rsidR="005F0A28">
        <w:rPr>
          <w:szCs w:val="21"/>
        </w:rPr>
        <w:t>når SMB-bedrifter trenger</w:t>
      </w:r>
      <w:r w:rsidR="004E402A">
        <w:rPr>
          <w:szCs w:val="21"/>
        </w:rPr>
        <w:t xml:space="preserve"> egenkapital for etablering, vekst og omstilling. En implikasjon av dette er at rammevilkår for norsk risikokapital vil ha betydning for omfanget av kapitaltilgangen for de fleste norske bedrifter</w:t>
      </w:r>
      <w:r w:rsidR="005F0A28">
        <w:rPr>
          <w:szCs w:val="21"/>
        </w:rPr>
        <w:t>, og dermed også aktivitetsnivået i økonomien</w:t>
      </w:r>
      <w:r w:rsidR="004E402A">
        <w:rPr>
          <w:szCs w:val="21"/>
        </w:rPr>
        <w:t>.</w:t>
      </w:r>
      <w:r w:rsidR="005F0A28">
        <w:rPr>
          <w:szCs w:val="21"/>
        </w:rPr>
        <w:t xml:space="preserve"> </w:t>
      </w:r>
      <w:r>
        <w:rPr>
          <w:szCs w:val="21"/>
        </w:rPr>
        <w:t>Rapporten inneholder også</w:t>
      </w:r>
      <w:r w:rsidR="00CE009D">
        <w:rPr>
          <w:szCs w:val="21"/>
        </w:rPr>
        <w:t xml:space="preserve"> en oversikt over SMB-bedrifters omfang i økonomien</w:t>
      </w:r>
      <w:r w:rsidR="00B77027">
        <w:rPr>
          <w:szCs w:val="21"/>
        </w:rPr>
        <w:t xml:space="preserve">. </w:t>
      </w:r>
    </w:p>
    <w:p w14:paraId="014BF6B9" w14:textId="794914E7" w:rsidR="00AA61FD" w:rsidRDefault="00AA61FD" w:rsidP="00AA61FD">
      <w:pPr>
        <w:rPr>
          <w:szCs w:val="21"/>
        </w:rPr>
      </w:pPr>
    </w:p>
    <w:p w14:paraId="45BA2438" w14:textId="4E7E13D2" w:rsidR="009608D9" w:rsidRPr="00860B7F" w:rsidRDefault="009608D9" w:rsidP="009608D9">
      <w:pPr>
        <w:jc w:val="both"/>
        <w:rPr>
          <w:szCs w:val="21"/>
        </w:rPr>
      </w:pPr>
      <w:r w:rsidRPr="00860B7F">
        <w:rPr>
          <w:szCs w:val="21"/>
        </w:rPr>
        <w:t xml:space="preserve">NyAnalyse AS er et uavhengig rådgivnings- og utredningsselskap med spisskompetanse innen samfunnsøkonomisk analyse, </w:t>
      </w:r>
      <w:r>
        <w:rPr>
          <w:szCs w:val="21"/>
        </w:rPr>
        <w:t xml:space="preserve">arbeidsliv og </w:t>
      </w:r>
      <w:r w:rsidRPr="00860B7F">
        <w:rPr>
          <w:szCs w:val="21"/>
        </w:rPr>
        <w:t>næringspolitikk</w:t>
      </w:r>
      <w:r>
        <w:rPr>
          <w:szCs w:val="21"/>
        </w:rPr>
        <w:t>,</w:t>
      </w:r>
      <w:r w:rsidRPr="00860B7F">
        <w:rPr>
          <w:szCs w:val="21"/>
        </w:rPr>
        <w:t xml:space="preserve"> beregninger tilknyttet </w:t>
      </w:r>
      <w:r>
        <w:rPr>
          <w:szCs w:val="21"/>
        </w:rPr>
        <w:t xml:space="preserve">skatt, </w:t>
      </w:r>
      <w:r w:rsidRPr="00860B7F">
        <w:rPr>
          <w:szCs w:val="21"/>
        </w:rPr>
        <w:t>verdiskaping og ringvirkninger</w:t>
      </w:r>
      <w:r>
        <w:rPr>
          <w:szCs w:val="21"/>
        </w:rPr>
        <w:t>, samt bærekraftig omstilling</w:t>
      </w:r>
      <w:r w:rsidRPr="00860B7F">
        <w:rPr>
          <w:szCs w:val="21"/>
        </w:rPr>
        <w:t xml:space="preserve">. Funn og konklusjoner i denne utredningen representerer </w:t>
      </w:r>
      <w:proofErr w:type="spellStart"/>
      <w:r w:rsidRPr="00860B7F">
        <w:rPr>
          <w:szCs w:val="21"/>
        </w:rPr>
        <w:t>NyAnalyse</w:t>
      </w:r>
      <w:r>
        <w:rPr>
          <w:szCs w:val="21"/>
        </w:rPr>
        <w:t>s</w:t>
      </w:r>
      <w:proofErr w:type="spellEnd"/>
      <w:r w:rsidRPr="00860B7F">
        <w:rPr>
          <w:szCs w:val="21"/>
        </w:rPr>
        <w:t xml:space="preserve"> egne faglige vurderinger.</w:t>
      </w:r>
      <w:r w:rsidRPr="00860B7F">
        <w:rPr>
          <w:noProof/>
          <w:szCs w:val="21"/>
          <w:lang w:eastAsia="nb-NO"/>
        </w:rPr>
        <w:t xml:space="preserve"> </w:t>
      </w:r>
    </w:p>
    <w:p w14:paraId="192F46C1" w14:textId="77777777" w:rsidR="009608D9" w:rsidRDefault="009608D9" w:rsidP="00AA61FD">
      <w:pPr>
        <w:rPr>
          <w:szCs w:val="21"/>
        </w:rPr>
      </w:pPr>
    </w:p>
    <w:p w14:paraId="5A44DA91" w14:textId="77777777" w:rsidR="00AA61FD" w:rsidRDefault="00AA61FD" w:rsidP="00AA61FD">
      <w:pPr>
        <w:rPr>
          <w:szCs w:val="21"/>
        </w:rPr>
      </w:pPr>
      <w:r>
        <w:rPr>
          <w:szCs w:val="21"/>
        </w:rPr>
        <w:t>Oslo, 30. september</w:t>
      </w:r>
    </w:p>
    <w:p w14:paraId="1E81D1D5" w14:textId="77777777" w:rsidR="00AA61FD" w:rsidRDefault="00AA61FD" w:rsidP="00AA61FD">
      <w:pPr>
        <w:rPr>
          <w:szCs w:val="21"/>
        </w:rPr>
      </w:pPr>
    </w:p>
    <w:p w14:paraId="755B9F8F" w14:textId="77777777" w:rsidR="00AA61FD" w:rsidRDefault="00AA61FD" w:rsidP="00AA61FD">
      <w:pPr>
        <w:rPr>
          <w:szCs w:val="21"/>
        </w:rPr>
      </w:pPr>
      <w:r>
        <w:rPr>
          <w:szCs w:val="21"/>
        </w:rPr>
        <w:t>Villeman Vinje</w:t>
      </w:r>
    </w:p>
    <w:p w14:paraId="57052037" w14:textId="77777777" w:rsidR="00AA61FD" w:rsidRDefault="00AA61FD" w:rsidP="00AA61FD">
      <w:pPr>
        <w:rPr>
          <w:szCs w:val="21"/>
        </w:rPr>
      </w:pPr>
      <w:r>
        <w:rPr>
          <w:szCs w:val="21"/>
        </w:rPr>
        <w:t>Ansvarlig prosjektleder</w:t>
      </w:r>
    </w:p>
    <w:p w14:paraId="13245414" w14:textId="77777777" w:rsidR="00AA61FD" w:rsidRDefault="00AA61FD" w:rsidP="00AA61FD">
      <w:pPr>
        <w:rPr>
          <w:szCs w:val="21"/>
        </w:rPr>
      </w:pPr>
    </w:p>
    <w:p w14:paraId="73BA456D" w14:textId="77777777" w:rsidR="00AA61FD" w:rsidRDefault="00AA61FD" w:rsidP="00AA61FD">
      <w:pPr>
        <w:rPr>
          <w:szCs w:val="21"/>
        </w:rPr>
      </w:pPr>
    </w:p>
    <w:p w14:paraId="54835B85" w14:textId="77777777" w:rsidR="00C34156" w:rsidRDefault="00C34156" w:rsidP="00AA61FD">
      <w:pPr>
        <w:pStyle w:val="Tittel2"/>
      </w:pPr>
    </w:p>
    <w:p w14:paraId="1124A6DE" w14:textId="77777777" w:rsidR="00C34156" w:rsidRDefault="00C34156" w:rsidP="00AA61FD">
      <w:pPr>
        <w:pStyle w:val="Tittel2"/>
      </w:pPr>
    </w:p>
    <w:p w14:paraId="28FC04F9" w14:textId="4E5AEC36" w:rsidR="00AA61FD" w:rsidRPr="00FE7FDD" w:rsidRDefault="00AA61FD" w:rsidP="00AA61FD">
      <w:pPr>
        <w:pStyle w:val="Tittel2"/>
        <w:rPr>
          <w:color w:val="000000" w:themeColor="text1"/>
          <w:sz w:val="21"/>
          <w:szCs w:val="21"/>
        </w:rPr>
      </w:pPr>
      <w:r w:rsidRPr="00FE7FDD">
        <w:rPr>
          <w:color w:val="000000" w:themeColor="text1"/>
          <w:sz w:val="21"/>
          <w:szCs w:val="21"/>
        </w:rPr>
        <w:t>RAPPORTEN ER UTARBEIDET AV</w:t>
      </w:r>
    </w:p>
    <w:p w14:paraId="67578DCF" w14:textId="77777777" w:rsidR="00AA61FD" w:rsidRDefault="00AA61FD" w:rsidP="00AA61FD">
      <w:pPr>
        <w:rPr>
          <w:szCs w:val="21"/>
        </w:rPr>
      </w:pPr>
      <w:r>
        <w:rPr>
          <w:szCs w:val="21"/>
        </w:rPr>
        <w:t>Villeman Vinje, partner og seniorøkonom</w:t>
      </w:r>
    </w:p>
    <w:p w14:paraId="24E837BC" w14:textId="77777777" w:rsidR="00AA61FD" w:rsidRDefault="00AA61FD" w:rsidP="00AA61FD">
      <w:pPr>
        <w:rPr>
          <w:szCs w:val="21"/>
        </w:rPr>
      </w:pPr>
      <w:r>
        <w:rPr>
          <w:szCs w:val="21"/>
        </w:rPr>
        <w:t>Martin Sundhaugen, analytiker</w:t>
      </w:r>
    </w:p>
    <w:p w14:paraId="697ECE91" w14:textId="77777777" w:rsidR="005F0A28" w:rsidRDefault="005F0A28" w:rsidP="00AA61FD">
      <w:pPr>
        <w:rPr>
          <w:szCs w:val="21"/>
        </w:rPr>
      </w:pPr>
    </w:p>
    <w:p w14:paraId="019DC67B" w14:textId="1233D4FE" w:rsidR="00AA61FD" w:rsidRDefault="00AA61FD" w:rsidP="00AA61FD">
      <w:pPr>
        <w:rPr>
          <w:szCs w:val="21"/>
        </w:rPr>
      </w:pPr>
      <w:r>
        <w:rPr>
          <w:szCs w:val="21"/>
        </w:rPr>
        <w:t xml:space="preserve">Empirisk datagrunnlag utarbeidet av </w:t>
      </w:r>
      <w:r w:rsidR="008E347D">
        <w:rPr>
          <w:szCs w:val="21"/>
        </w:rPr>
        <w:t>p</w:t>
      </w:r>
      <w:r>
        <w:rPr>
          <w:szCs w:val="21"/>
        </w:rPr>
        <w:t xml:space="preserve">rofessor Amir Sasson ved </w:t>
      </w:r>
      <w:r w:rsidRPr="003A75B0">
        <w:rPr>
          <w:szCs w:val="21"/>
        </w:rPr>
        <w:t>Handelshøyskolen BI</w:t>
      </w:r>
    </w:p>
    <w:p w14:paraId="1CD40991" w14:textId="77777777" w:rsidR="00AA61FD" w:rsidRDefault="00AA61FD" w:rsidP="00AA61FD">
      <w:pPr>
        <w:pStyle w:val="Overskrift1"/>
      </w:pPr>
      <w:bookmarkStart w:id="1" w:name="_Toc52177858"/>
      <w:r>
        <w:lastRenderedPageBreak/>
        <w:t>H</w:t>
      </w:r>
      <w:r w:rsidRPr="0029080B">
        <w:rPr>
          <w:color w:val="0070C0"/>
        </w:rPr>
        <w:t>OVEDF</w:t>
      </w:r>
      <w:r>
        <w:t>UNN</w:t>
      </w:r>
      <w:bookmarkEnd w:id="1"/>
    </w:p>
    <w:p w14:paraId="4FD8C884" w14:textId="77777777" w:rsidR="0029080B" w:rsidRDefault="0029080B" w:rsidP="00AA61FD">
      <w:pPr>
        <w:sectPr w:rsidR="0029080B" w:rsidSect="00BF1486">
          <w:footerReference w:type="default" r:id="rId15"/>
          <w:pgSz w:w="11906" w:h="16838"/>
          <w:pgMar w:top="1417" w:right="1417" w:bottom="1417" w:left="1417" w:header="708" w:footer="708" w:gutter="0"/>
          <w:cols w:space="708"/>
          <w:titlePg/>
          <w:docGrid w:linePitch="360"/>
        </w:sectPr>
      </w:pPr>
    </w:p>
    <w:p w14:paraId="467095F1" w14:textId="77777777" w:rsidR="0029080B" w:rsidRDefault="0029080B" w:rsidP="00AA61FD"/>
    <w:p w14:paraId="59E59B72" w14:textId="27B470B7" w:rsidR="00B43C66" w:rsidRDefault="0029080B" w:rsidP="00B43C66">
      <w:pPr>
        <w:jc w:val="both"/>
        <w:rPr>
          <w:b/>
          <w:bCs/>
        </w:rPr>
      </w:pPr>
      <w:r w:rsidRPr="0029080B">
        <w:rPr>
          <w:b/>
          <w:bCs/>
        </w:rPr>
        <w:t>Formuesskatten rammer flest SMB-eiere og personer med moderat kapitalmengde i næringsvirksomhet.</w:t>
      </w:r>
    </w:p>
    <w:p w14:paraId="65F50BE8" w14:textId="5054DD25" w:rsidR="0029080B" w:rsidRDefault="0029080B" w:rsidP="00B43C66">
      <w:pPr>
        <w:jc w:val="both"/>
      </w:pPr>
      <w:r>
        <w:t>98 prosent av alle som betaler formuesskatt på arbeidende kapital – 425 000 personer – er SMB bedriftseiere eller har moderat kapitalbeholdning investert i nærings</w:t>
      </w:r>
      <w:r w:rsidR="00B43C66">
        <w:t>-</w:t>
      </w:r>
      <w:r>
        <w:t>virksomhet</w:t>
      </w:r>
      <w:r w:rsidR="00B43C66">
        <w:t xml:space="preserve"> direkte eller indirekte</w:t>
      </w:r>
      <w:r w:rsidR="004F5651">
        <w:t>.</w:t>
      </w:r>
    </w:p>
    <w:p w14:paraId="3F401A35" w14:textId="77777777" w:rsidR="00B43C66" w:rsidRDefault="00B43C66" w:rsidP="0029080B">
      <w:pPr>
        <w:pStyle w:val="Bildetekst"/>
        <w:rPr>
          <w:sz w:val="16"/>
          <w:szCs w:val="16"/>
        </w:rPr>
      </w:pPr>
    </w:p>
    <w:p w14:paraId="0EE8C967" w14:textId="77777777" w:rsidR="00B43C66" w:rsidRDefault="00B43C66" w:rsidP="0029080B">
      <w:pPr>
        <w:pStyle w:val="Bildetekst"/>
        <w:rPr>
          <w:sz w:val="16"/>
          <w:szCs w:val="16"/>
        </w:rPr>
      </w:pPr>
    </w:p>
    <w:p w14:paraId="55F4E3BD" w14:textId="3FC8A945" w:rsidR="0029080B" w:rsidRPr="0029080B" w:rsidRDefault="0029080B" w:rsidP="0029080B">
      <w:pPr>
        <w:pStyle w:val="Bildetekst"/>
        <w:rPr>
          <w:sz w:val="16"/>
          <w:szCs w:val="16"/>
        </w:rPr>
      </w:pPr>
      <w:r w:rsidRPr="0029080B">
        <w:rPr>
          <w:sz w:val="16"/>
          <w:szCs w:val="16"/>
        </w:rPr>
        <w:t>Estimert fordeling av personer som betaler formuesskatt mellom gruppene «Småbedriftseier, mv», «Mellomstor bedriftseier, mv.» og «Storbedriftseier, mv». 2020.</w:t>
      </w:r>
    </w:p>
    <w:p w14:paraId="2ED1B21D" w14:textId="77777777" w:rsidR="0029080B" w:rsidRDefault="0029080B" w:rsidP="0029080B">
      <w:pPr>
        <w:jc w:val="both"/>
      </w:pPr>
      <w:r w:rsidRPr="008647AF">
        <w:rPr>
          <w:noProof/>
        </w:rPr>
        <w:drawing>
          <wp:inline distT="0" distB="0" distL="0" distR="0" wp14:anchorId="5A46150D" wp14:editId="0D027880">
            <wp:extent cx="3402965" cy="1211943"/>
            <wp:effectExtent l="0" t="0" r="6985" b="7620"/>
            <wp:docPr id="35" name="Diagram 35">
              <a:extLst xmlns:a="http://schemas.openxmlformats.org/drawingml/2006/main">
                <a:ext uri="{FF2B5EF4-FFF2-40B4-BE49-F238E27FC236}">
                  <a16:creationId xmlns:a16="http://schemas.microsoft.com/office/drawing/2014/main" id="{4CDD6959-D32A-4710-839A-891D28B276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4CFC78" w14:textId="5ACB9838" w:rsidR="0029080B" w:rsidRDefault="0029080B" w:rsidP="00B43C66">
      <w:pPr>
        <w:jc w:val="both"/>
        <w:rPr>
          <w:b/>
          <w:bCs/>
        </w:rPr>
        <w:sectPr w:rsidR="0029080B" w:rsidSect="0029080B">
          <w:type w:val="continuous"/>
          <w:pgSz w:w="11906" w:h="16838"/>
          <w:pgMar w:top="1417" w:right="1417" w:bottom="1417" w:left="1417" w:header="708" w:footer="708" w:gutter="0"/>
          <w:cols w:num="2" w:space="282"/>
          <w:docGrid w:linePitch="360"/>
        </w:sectPr>
      </w:pPr>
      <w:r w:rsidRPr="0029080B">
        <w:rPr>
          <w:sz w:val="14"/>
          <w:szCs w:val="14"/>
        </w:rPr>
        <w:t>Kilde: NyAnalyse, basert på tallgrunnlag fra Finansdepartementet</w:t>
      </w:r>
    </w:p>
    <w:p w14:paraId="33AC9E61" w14:textId="77777777" w:rsidR="00B43C66" w:rsidRDefault="00B43C66" w:rsidP="009C05A8">
      <w:pPr>
        <w:pStyle w:val="Listeavsnitt"/>
        <w:ind w:left="360"/>
        <w:rPr>
          <w:b/>
          <w:bCs/>
        </w:rPr>
      </w:pPr>
    </w:p>
    <w:p w14:paraId="3951E1E2" w14:textId="77777777" w:rsidR="00B43C66" w:rsidRDefault="00B43C66" w:rsidP="00B43C66">
      <w:pPr>
        <w:rPr>
          <w:b/>
          <w:bCs/>
        </w:rPr>
        <w:sectPr w:rsidR="00B43C66" w:rsidSect="0029080B">
          <w:type w:val="continuous"/>
          <w:pgSz w:w="11906" w:h="16838"/>
          <w:pgMar w:top="1417" w:right="1417" w:bottom="1417" w:left="1417" w:header="708" w:footer="708" w:gutter="0"/>
          <w:cols w:space="708"/>
          <w:docGrid w:linePitch="360"/>
        </w:sectPr>
      </w:pPr>
    </w:p>
    <w:p w14:paraId="6861A744" w14:textId="042C4639" w:rsidR="00B43C66" w:rsidRDefault="00B43C66" w:rsidP="006F3173">
      <w:pPr>
        <w:jc w:val="both"/>
      </w:pPr>
      <w:r>
        <w:rPr>
          <w:b/>
          <w:bCs/>
        </w:rPr>
        <w:t>Formuesskatten er betydelig for SMB-eiere og personer med moderat kapitalmengde i næringsvirksomhet.</w:t>
      </w:r>
      <w:r>
        <w:rPr>
          <w:b/>
          <w:bCs/>
        </w:rPr>
        <w:br/>
      </w:r>
      <w:r>
        <w:t>SMB-eiere og personer med moderat kapitalbeholdning investert i nærings-virksomhet direkte eller indirekte betaler til sammen om lag 3 mrd. kroner i formues</w:t>
      </w:r>
      <w:r w:rsidR="009C05A8">
        <w:t>-</w:t>
      </w:r>
      <w:r>
        <w:t xml:space="preserve">skatt på arbeidende kapital. </w:t>
      </w:r>
      <w:r w:rsidR="009C05A8">
        <w:t>Dette kommer i tillegg til annen formuesskatt, utbytteskatt og inntektsskatt.</w:t>
      </w:r>
      <w:r w:rsidR="006F3173">
        <w:t xml:space="preserve"> Formuesskatten på arbeidende kapital er totalt sett 8,2 mrd. kr.</w:t>
      </w:r>
    </w:p>
    <w:p w14:paraId="4E031EC4" w14:textId="461AECF7" w:rsidR="00B43C66" w:rsidRPr="00B43C66" w:rsidRDefault="00B43C66" w:rsidP="00B43C66">
      <w:pPr>
        <w:pStyle w:val="Bildetekst"/>
        <w:rPr>
          <w:sz w:val="16"/>
          <w:szCs w:val="16"/>
        </w:rPr>
      </w:pPr>
      <w:r w:rsidRPr="00B43C66">
        <w:rPr>
          <w:sz w:val="16"/>
          <w:szCs w:val="16"/>
        </w:rPr>
        <w:t>Estimert proveny betalt i formuesskatt på nærings</w:t>
      </w:r>
      <w:r w:rsidR="009C05A8">
        <w:rPr>
          <w:sz w:val="16"/>
          <w:szCs w:val="16"/>
        </w:rPr>
        <w:t>-</w:t>
      </w:r>
      <w:r w:rsidRPr="00B43C66">
        <w:rPr>
          <w:sz w:val="16"/>
          <w:szCs w:val="16"/>
        </w:rPr>
        <w:t>relatert, arbeidende kapital for gruppene «Småbedrifts</w:t>
      </w:r>
      <w:r w:rsidR="009C05A8">
        <w:rPr>
          <w:sz w:val="16"/>
          <w:szCs w:val="16"/>
        </w:rPr>
        <w:t>-</w:t>
      </w:r>
      <w:r w:rsidRPr="00B43C66">
        <w:rPr>
          <w:sz w:val="16"/>
          <w:szCs w:val="16"/>
        </w:rPr>
        <w:t>eier, mv», «Mellomstore bedriftseier, mv.» og «Store</w:t>
      </w:r>
      <w:r w:rsidR="009C05A8">
        <w:rPr>
          <w:sz w:val="16"/>
          <w:szCs w:val="16"/>
        </w:rPr>
        <w:t>-</w:t>
      </w:r>
      <w:r w:rsidRPr="00B43C66">
        <w:rPr>
          <w:sz w:val="16"/>
          <w:szCs w:val="16"/>
        </w:rPr>
        <w:t xml:space="preserve">bedriftseier, mv». </w:t>
      </w:r>
      <w:r>
        <w:rPr>
          <w:sz w:val="16"/>
          <w:szCs w:val="16"/>
        </w:rPr>
        <w:t xml:space="preserve">Mrd. kr. </w:t>
      </w:r>
      <w:r w:rsidRPr="00B43C66">
        <w:rPr>
          <w:sz w:val="16"/>
          <w:szCs w:val="16"/>
        </w:rPr>
        <w:t>2020</w:t>
      </w:r>
    </w:p>
    <w:p w14:paraId="68C015C0" w14:textId="77777777" w:rsidR="00B43C66" w:rsidRDefault="00B43C66" w:rsidP="00B43C66">
      <w:pPr>
        <w:ind w:hanging="142"/>
        <w:jc w:val="both"/>
      </w:pPr>
      <w:r w:rsidRPr="008647AF">
        <w:rPr>
          <w:noProof/>
        </w:rPr>
        <w:drawing>
          <wp:inline distT="0" distB="0" distL="0" distR="0" wp14:anchorId="61B1C111" wp14:editId="0ED62B91">
            <wp:extent cx="3359150" cy="1785257"/>
            <wp:effectExtent l="0" t="0" r="0" b="5715"/>
            <wp:docPr id="37" name="Diagram 37">
              <a:extLst xmlns:a="http://schemas.openxmlformats.org/drawingml/2006/main">
                <a:ext uri="{FF2B5EF4-FFF2-40B4-BE49-F238E27FC236}">
                  <a16:creationId xmlns:a16="http://schemas.microsoft.com/office/drawing/2014/main" id="{4CDD6959-D32A-4710-839A-891D28B276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0F4AB5" w14:textId="64B1046D" w:rsidR="00B43C66" w:rsidRPr="00B43C66" w:rsidRDefault="00B43C66" w:rsidP="00B43C66">
      <w:pPr>
        <w:ind w:left="-284"/>
        <w:jc w:val="both"/>
        <w:rPr>
          <w:rStyle w:val="fontstyle01"/>
          <w:b w:val="0"/>
          <w:bCs w:val="0"/>
          <w:sz w:val="20"/>
          <w:szCs w:val="20"/>
        </w:rPr>
      </w:pPr>
      <w:proofErr w:type="spellStart"/>
      <w:r w:rsidRPr="00B43C66">
        <w:rPr>
          <w:sz w:val="14"/>
          <w:szCs w:val="14"/>
        </w:rPr>
        <w:t>Kil</w:t>
      </w:r>
      <w:r>
        <w:rPr>
          <w:sz w:val="14"/>
          <w:szCs w:val="14"/>
        </w:rPr>
        <w:t>Kil</w:t>
      </w:r>
      <w:r w:rsidRPr="00B43C66">
        <w:rPr>
          <w:sz w:val="14"/>
          <w:szCs w:val="14"/>
        </w:rPr>
        <w:t>de</w:t>
      </w:r>
      <w:proofErr w:type="spellEnd"/>
      <w:r w:rsidRPr="00B43C66">
        <w:rPr>
          <w:sz w:val="14"/>
          <w:szCs w:val="14"/>
        </w:rPr>
        <w:t xml:space="preserve">: </w:t>
      </w:r>
      <w:proofErr w:type="spellStart"/>
      <w:r w:rsidRPr="00B43C66">
        <w:rPr>
          <w:sz w:val="14"/>
          <w:szCs w:val="14"/>
        </w:rPr>
        <w:t>NyAnalyse</w:t>
      </w:r>
      <w:proofErr w:type="spellEnd"/>
      <w:r w:rsidRPr="00B43C66">
        <w:rPr>
          <w:sz w:val="14"/>
          <w:szCs w:val="14"/>
        </w:rPr>
        <w:t>, basert på tallgrunnlag fra Finansdepartementet</w:t>
      </w:r>
    </w:p>
    <w:p w14:paraId="3F74BF4F" w14:textId="77777777" w:rsidR="00B43C66" w:rsidRDefault="00B43C66" w:rsidP="00B43C66">
      <w:pPr>
        <w:rPr>
          <w:b/>
          <w:bCs/>
        </w:rPr>
        <w:sectPr w:rsidR="00B43C66" w:rsidSect="00B43C66">
          <w:type w:val="continuous"/>
          <w:pgSz w:w="11906" w:h="16838"/>
          <w:pgMar w:top="1417" w:right="1417" w:bottom="1417" w:left="1417" w:header="708" w:footer="708" w:gutter="0"/>
          <w:cols w:num="2" w:space="282"/>
          <w:docGrid w:linePitch="360"/>
        </w:sectPr>
      </w:pPr>
    </w:p>
    <w:p w14:paraId="0EAF7ED1" w14:textId="77777777" w:rsidR="00CF2BAF" w:rsidRPr="00CF2BAF" w:rsidRDefault="00CF2BAF" w:rsidP="009C05A8">
      <w:pPr>
        <w:pStyle w:val="Listeavsnitt"/>
        <w:numPr>
          <w:ilvl w:val="0"/>
          <w:numId w:val="37"/>
        </w:numPr>
        <w:rPr>
          <w:b/>
          <w:bCs/>
        </w:rPr>
        <w:sectPr w:rsidR="00CF2BAF" w:rsidRPr="00CF2BAF" w:rsidSect="0029080B">
          <w:type w:val="continuous"/>
          <w:pgSz w:w="11906" w:h="16838"/>
          <w:pgMar w:top="1417" w:right="1417" w:bottom="1417" w:left="1417" w:header="708" w:footer="708" w:gutter="0"/>
          <w:cols w:space="708"/>
          <w:docGrid w:linePitch="360"/>
        </w:sectPr>
      </w:pPr>
    </w:p>
    <w:p w14:paraId="508D13BD" w14:textId="77777777" w:rsidR="00CF2BAF" w:rsidRDefault="00CF2BAF" w:rsidP="00CF2BAF">
      <w:pPr>
        <w:jc w:val="both"/>
        <w:rPr>
          <w:b/>
          <w:bCs/>
        </w:rPr>
      </w:pPr>
      <w:r>
        <w:rPr>
          <w:b/>
          <w:bCs/>
        </w:rPr>
        <w:t>«SMB-eiere, mv»-gruppen estimeres å betale om lag 90 mrd. kroner i skatt.</w:t>
      </w:r>
    </w:p>
    <w:p w14:paraId="439195DA" w14:textId="65C00677" w:rsidR="009C05A8" w:rsidRDefault="00CF2BAF" w:rsidP="00CF2BAF">
      <w:pPr>
        <w:jc w:val="both"/>
      </w:pPr>
      <w:r>
        <w:t xml:space="preserve">Kun 3 prosent av skattebidraget fra SMB-eiere </w:t>
      </w:r>
      <w:r w:rsidRPr="00CF2BAF">
        <w:t>og personer med moderat kapitalmengde i næringsvirksomhet</w:t>
      </w:r>
      <w:r>
        <w:t xml:space="preserve"> estimeres å være formuesskatt på arbeidende kapital. Utbytteskatten alene er over 3 </w:t>
      </w:r>
      <w:r w:rsidR="00BF1486">
        <w:t>ganger</w:t>
      </w:r>
      <w:r>
        <w:t xml:space="preserve"> større og formuesskatt på private aktiva utgjør 4,4 mrd. kr</w:t>
      </w:r>
      <w:r w:rsidR="004F5651">
        <w:t>.</w:t>
      </w:r>
    </w:p>
    <w:p w14:paraId="22F819CC" w14:textId="23026381" w:rsidR="00CF2BAF" w:rsidRDefault="00CF2BAF" w:rsidP="00CF2BAF">
      <w:pPr>
        <w:jc w:val="both"/>
      </w:pPr>
    </w:p>
    <w:p w14:paraId="2DB00EC7" w14:textId="77777777" w:rsidR="00CF2BAF" w:rsidRPr="00CF2BAF" w:rsidRDefault="00CF2BAF" w:rsidP="00CF2BAF">
      <w:pPr>
        <w:jc w:val="both"/>
      </w:pPr>
    </w:p>
    <w:p w14:paraId="034F6C69" w14:textId="3155DD63" w:rsidR="00CF2BAF" w:rsidRPr="00CF2BAF" w:rsidRDefault="00CF2BAF" w:rsidP="00CF2BAF">
      <w:pPr>
        <w:pStyle w:val="Bildetekst"/>
        <w:ind w:right="-283"/>
        <w:jc w:val="both"/>
        <w:rPr>
          <w:sz w:val="16"/>
          <w:szCs w:val="16"/>
        </w:rPr>
      </w:pPr>
      <w:r w:rsidRPr="00CF2BAF">
        <w:rPr>
          <w:sz w:val="16"/>
          <w:szCs w:val="16"/>
        </w:rPr>
        <w:t xml:space="preserve">Estimert </w:t>
      </w:r>
      <w:r>
        <w:rPr>
          <w:sz w:val="16"/>
          <w:szCs w:val="16"/>
        </w:rPr>
        <w:t xml:space="preserve">skatt </w:t>
      </w:r>
      <w:r w:rsidRPr="00CF2BAF">
        <w:rPr>
          <w:sz w:val="16"/>
          <w:szCs w:val="16"/>
        </w:rPr>
        <w:t xml:space="preserve">for gruppen «Småbedriftseier, mv», skatteytere med </w:t>
      </w:r>
      <w:r>
        <w:rPr>
          <w:sz w:val="16"/>
          <w:szCs w:val="16"/>
        </w:rPr>
        <w:t xml:space="preserve">formuesskatt på arbeidende kapital og </w:t>
      </w:r>
      <w:r w:rsidRPr="00CF2BAF">
        <w:rPr>
          <w:sz w:val="16"/>
          <w:szCs w:val="16"/>
        </w:rPr>
        <w:t>netto likningsformue under 20 mill. kroner, Mrd. kroner. 2019</w:t>
      </w:r>
    </w:p>
    <w:p w14:paraId="18FEA6C1" w14:textId="77777777" w:rsidR="00CF2BAF" w:rsidRDefault="00CF2BAF" w:rsidP="00CF2BAF">
      <w:pPr>
        <w:jc w:val="both"/>
        <w:rPr>
          <w:sz w:val="16"/>
          <w:szCs w:val="16"/>
        </w:rPr>
      </w:pPr>
      <w:r>
        <w:rPr>
          <w:noProof/>
          <w:sz w:val="16"/>
          <w:szCs w:val="16"/>
        </w:rPr>
        <w:drawing>
          <wp:inline distT="0" distB="0" distL="0" distR="0" wp14:anchorId="213DE3D3" wp14:editId="1E6B9F59">
            <wp:extent cx="3156585" cy="1581150"/>
            <wp:effectExtent l="0" t="0" r="5715" b="0"/>
            <wp:docPr id="42" name="Diagra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E3DAD9" w14:textId="487F8918" w:rsidR="00CF2BAF" w:rsidRPr="00CF2BAF" w:rsidRDefault="00CF2BAF" w:rsidP="00CF2BAF">
      <w:pPr>
        <w:ind w:left="-142"/>
        <w:jc w:val="both"/>
        <w:rPr>
          <w:sz w:val="14"/>
          <w:szCs w:val="14"/>
        </w:rPr>
        <w:sectPr w:rsidR="00CF2BAF" w:rsidRPr="00CF2BAF" w:rsidSect="00CF2BAF">
          <w:type w:val="continuous"/>
          <w:pgSz w:w="11906" w:h="16838"/>
          <w:pgMar w:top="1417" w:right="1417" w:bottom="1417" w:left="1417" w:header="708" w:footer="708" w:gutter="0"/>
          <w:cols w:num="2" w:space="282"/>
          <w:docGrid w:linePitch="360"/>
        </w:sectPr>
      </w:pPr>
      <w:r w:rsidRPr="00CF2BAF">
        <w:rPr>
          <w:sz w:val="14"/>
          <w:szCs w:val="14"/>
        </w:rPr>
        <w:t xml:space="preserve">Kilde: NyAnalyse, basert på tallgrunnlag fra Finansdepartementet. </w:t>
      </w:r>
    </w:p>
    <w:p w14:paraId="18777965" w14:textId="7DA0E0FA" w:rsidR="00CF1C52" w:rsidRDefault="00CF1C52">
      <w:pPr>
        <w:spacing w:after="160" w:line="259" w:lineRule="auto"/>
        <w:rPr>
          <w:b/>
          <w:bCs/>
        </w:rPr>
      </w:pPr>
      <w:r>
        <w:rPr>
          <w:b/>
          <w:bCs/>
        </w:rPr>
        <w:br w:type="page"/>
      </w:r>
    </w:p>
    <w:p w14:paraId="216FFBF4" w14:textId="77777777" w:rsidR="00CF1C52" w:rsidRDefault="00CF1C52" w:rsidP="00CF1C52">
      <w:pPr>
        <w:pStyle w:val="Bildetekst"/>
        <w:sectPr w:rsidR="00CF1C52" w:rsidSect="0029080B">
          <w:type w:val="continuous"/>
          <w:pgSz w:w="11906" w:h="16838"/>
          <w:pgMar w:top="1417" w:right="1417" w:bottom="1417" w:left="1417" w:header="708" w:footer="708" w:gutter="0"/>
          <w:cols w:space="708"/>
          <w:docGrid w:linePitch="360"/>
        </w:sectPr>
      </w:pPr>
    </w:p>
    <w:p w14:paraId="00B8EE4D" w14:textId="6BAD09BC" w:rsidR="00CF1C52" w:rsidRPr="00CF1C52" w:rsidRDefault="00CF1C52" w:rsidP="006F3173">
      <w:pPr>
        <w:jc w:val="both"/>
        <w:rPr>
          <w:b/>
          <w:bCs/>
        </w:rPr>
      </w:pPr>
      <w:r w:rsidRPr="00CF1C52">
        <w:rPr>
          <w:b/>
          <w:bCs/>
        </w:rPr>
        <w:lastRenderedPageBreak/>
        <w:t xml:space="preserve">Det personlige skattebidraget </w:t>
      </w:r>
      <w:r>
        <w:rPr>
          <w:b/>
          <w:bCs/>
        </w:rPr>
        <w:t>på</w:t>
      </w:r>
      <w:r w:rsidRPr="00CF1C52">
        <w:rPr>
          <w:b/>
          <w:bCs/>
        </w:rPr>
        <w:t xml:space="preserve"> eierskap av bedrifter og arbeidsplasser utgjør om lag 30 mrd. kroner</w:t>
      </w:r>
      <w:r w:rsidR="006F3173">
        <w:rPr>
          <w:b/>
          <w:bCs/>
        </w:rPr>
        <w:t xml:space="preserve">. </w:t>
      </w:r>
      <w:r w:rsidR="00BF1486">
        <w:rPr>
          <w:b/>
          <w:bCs/>
        </w:rPr>
        <w:t>En ti</w:t>
      </w:r>
      <w:r w:rsidR="006F3173">
        <w:rPr>
          <w:b/>
          <w:bCs/>
        </w:rPr>
        <w:t>dobl</w:t>
      </w:r>
      <w:r w:rsidR="00BF1486">
        <w:rPr>
          <w:b/>
          <w:bCs/>
        </w:rPr>
        <w:t>ing</w:t>
      </w:r>
      <w:r w:rsidRPr="00CF1C52">
        <w:rPr>
          <w:b/>
          <w:bCs/>
        </w:rPr>
        <w:t xml:space="preserve"> siden 2005</w:t>
      </w:r>
      <w:r w:rsidR="006F3173">
        <w:rPr>
          <w:b/>
          <w:bCs/>
        </w:rPr>
        <w:t>.</w:t>
      </w:r>
    </w:p>
    <w:p w14:paraId="28CBABA1" w14:textId="420703EB" w:rsidR="006F3173" w:rsidRDefault="006F3173" w:rsidP="006F3173">
      <w:pPr>
        <w:jc w:val="both"/>
      </w:pPr>
      <w:r>
        <w:t xml:space="preserve">Det samlede personlige skattebidraget ved eierskap og investeringer i bedrifter og arbeidsplasser har steget betydelig. I 2005 var formuesskatt på arbeidende kapital om lag 3 mrd. 2019-kroner og det var </w:t>
      </w:r>
      <w:r w:rsidR="00BF1486">
        <w:t>ingen</w:t>
      </w:r>
      <w:r>
        <w:t xml:space="preserve"> utbytteskatt. I 2019 har dette steget til over 30 mrd. kroner.</w:t>
      </w:r>
    </w:p>
    <w:p w14:paraId="5C76697B" w14:textId="7FCB324E" w:rsidR="00CF1C52" w:rsidRPr="00477532" w:rsidRDefault="00CF1C52" w:rsidP="00CF1C52">
      <w:pPr>
        <w:pStyle w:val="Bildetekst"/>
        <w:rPr>
          <w:sz w:val="16"/>
          <w:szCs w:val="16"/>
        </w:rPr>
      </w:pPr>
      <w:r w:rsidRPr="00477532">
        <w:rPr>
          <w:sz w:val="16"/>
          <w:szCs w:val="16"/>
        </w:rPr>
        <w:t xml:space="preserve">Formuesskatt på arbeidende kapital og estimat på utbytteskatt. 2005, 2013 og 2019. </w:t>
      </w:r>
      <w:r w:rsidRPr="00477532">
        <w:rPr>
          <w:sz w:val="16"/>
          <w:szCs w:val="16"/>
        </w:rPr>
        <w:br/>
        <w:t>Inflasjonsjustert, milliarder 2019-kroner</w:t>
      </w:r>
    </w:p>
    <w:p w14:paraId="45B98473" w14:textId="77777777" w:rsidR="00CF1C52" w:rsidRDefault="00CF1C52" w:rsidP="00CF1C52">
      <w:pPr>
        <w:spacing w:line="240" w:lineRule="auto"/>
        <w:rPr>
          <w:rStyle w:val="fontstyle01"/>
        </w:rPr>
      </w:pPr>
      <w:r w:rsidRPr="00012411">
        <w:rPr>
          <w:rFonts w:ascii="Calibri" w:hAnsi="Calibri" w:cs="Calibri"/>
          <w:b/>
          <w:bCs/>
          <w:noProof/>
          <w:color w:val="000000"/>
          <w:sz w:val="22"/>
        </w:rPr>
        <w:drawing>
          <wp:inline distT="0" distB="0" distL="0" distR="0" wp14:anchorId="1F6C0BA1" wp14:editId="023D048E">
            <wp:extent cx="2915285" cy="1730829"/>
            <wp:effectExtent l="0" t="0" r="0" b="3175"/>
            <wp:docPr id="38" name="Diagra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77BE7C" w14:textId="6904281C" w:rsidR="00CF1C52" w:rsidRPr="00003646" w:rsidRDefault="00CF1C52" w:rsidP="00003646">
      <w:pPr>
        <w:spacing w:line="240" w:lineRule="auto"/>
        <w:ind w:left="-142"/>
        <w:rPr>
          <w:sz w:val="14"/>
          <w:szCs w:val="14"/>
        </w:rPr>
        <w:sectPr w:rsidR="00CF1C52" w:rsidRPr="00003646" w:rsidSect="00CF1C52">
          <w:type w:val="continuous"/>
          <w:pgSz w:w="11906" w:h="16838"/>
          <w:pgMar w:top="1417" w:right="1417" w:bottom="1417" w:left="1417" w:header="708" w:footer="708" w:gutter="0"/>
          <w:cols w:num="2" w:space="282"/>
          <w:docGrid w:linePitch="360"/>
        </w:sectPr>
      </w:pPr>
      <w:r w:rsidRPr="00CF1C52">
        <w:rPr>
          <w:sz w:val="14"/>
          <w:szCs w:val="14"/>
        </w:rPr>
        <w:t>Kilde: NyAnalyse, basert på tallgrunnlag fra Finansdepartementet</w:t>
      </w:r>
    </w:p>
    <w:p w14:paraId="4DA83B85" w14:textId="77777777" w:rsidR="00477532" w:rsidRDefault="00477532" w:rsidP="00B43C66">
      <w:pPr>
        <w:rPr>
          <w:b/>
          <w:bCs/>
        </w:rPr>
      </w:pPr>
    </w:p>
    <w:p w14:paraId="47EE63B0" w14:textId="21CCECE1" w:rsidR="00003646" w:rsidRDefault="00003646" w:rsidP="00B43C66">
      <w:pPr>
        <w:rPr>
          <w:b/>
          <w:bCs/>
        </w:rPr>
      </w:pPr>
      <w:r>
        <w:rPr>
          <w:b/>
          <w:bCs/>
        </w:rPr>
        <w:t>Kapitalmarkedet har svakheter i SMB-segmentet. Over 90 % av egenkapital reist i 2015 ble stilt til rådighet av norsk, privat kapital.</w:t>
      </w:r>
    </w:p>
    <w:p w14:paraId="04FB5BC0" w14:textId="2C5C331C" w:rsidR="00003646" w:rsidRDefault="00003646" w:rsidP="00003646">
      <w:pPr>
        <w:jc w:val="both"/>
      </w:pPr>
      <w:r>
        <w:t>I debatten om formuesskatt på arbeidende kapital ignoreres ofte virkningen den indirekte har på verdiskaping gjennom kapitalmarkedet. Empiriske data fra 2015 viser at norsk privat kapital uten sammenligning er viktigste egenkapitalkilde for SMB-segmentet.</w:t>
      </w:r>
      <w:r w:rsidR="000C2F40">
        <w:t xml:space="preserve"> Implikasjonen av dette er at formuesskatten virker </w:t>
      </w:r>
      <w:r w:rsidR="009A0D5A">
        <w:t xml:space="preserve">negativt </w:t>
      </w:r>
      <w:r w:rsidR="000C2F40">
        <w:t>inn på investeringsnivå og innretning, dvs. aktiviteten i økonomien.</w:t>
      </w:r>
    </w:p>
    <w:p w14:paraId="05620A6E" w14:textId="77777777" w:rsidR="00477532" w:rsidRDefault="00477532" w:rsidP="00003646">
      <w:pPr>
        <w:pStyle w:val="Bildetekst"/>
        <w:keepNext/>
        <w:rPr>
          <w:sz w:val="16"/>
          <w:szCs w:val="16"/>
        </w:rPr>
      </w:pPr>
    </w:p>
    <w:p w14:paraId="4B06A877" w14:textId="4A00379B" w:rsidR="00003646" w:rsidRDefault="00003646" w:rsidP="00003646">
      <w:pPr>
        <w:pStyle w:val="Bildetekst"/>
        <w:keepNext/>
      </w:pPr>
      <w:r>
        <w:rPr>
          <w:sz w:val="16"/>
          <w:szCs w:val="16"/>
        </w:rPr>
        <w:t>P</w:t>
      </w:r>
      <w:r w:rsidRPr="00003646">
        <w:rPr>
          <w:sz w:val="16"/>
          <w:szCs w:val="16"/>
        </w:rPr>
        <w:t xml:space="preserve">rosentvis fordeling av emisjonsvolum </w:t>
      </w:r>
      <w:r>
        <w:rPr>
          <w:sz w:val="16"/>
          <w:szCs w:val="16"/>
        </w:rPr>
        <w:t>i Norge utenom</w:t>
      </w:r>
      <w:r w:rsidRPr="00003646">
        <w:rPr>
          <w:sz w:val="16"/>
          <w:szCs w:val="16"/>
        </w:rPr>
        <w:t xml:space="preserve"> Oslo og Akershus. Inndelt etter bedriftsstørrelse (eiendeler) og kapitalkilde. 2015</w:t>
      </w:r>
    </w:p>
    <w:p w14:paraId="5979B738" w14:textId="245BAACB" w:rsidR="00003646" w:rsidRDefault="00003646" w:rsidP="00003646">
      <w:r w:rsidRPr="008633DE">
        <w:rPr>
          <w:noProof/>
        </w:rPr>
        <w:drawing>
          <wp:inline distT="0" distB="0" distL="0" distR="0" wp14:anchorId="6F027F5B" wp14:editId="68B59A06">
            <wp:extent cx="2843530" cy="2812143"/>
            <wp:effectExtent l="0" t="0" r="0" b="7620"/>
            <wp:docPr id="44" name="Diagram 44">
              <a:extLst xmlns:a="http://schemas.openxmlformats.org/drawingml/2006/main">
                <a:ext uri="{FF2B5EF4-FFF2-40B4-BE49-F238E27FC236}">
                  <a16:creationId xmlns:a16="http://schemas.microsoft.com/office/drawing/2014/main" id="{B79F4AEA-4CD8-4407-9928-027C048091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B6591">
        <w:rPr>
          <w:noProof/>
        </w:rPr>
        <w:t xml:space="preserve"> </w:t>
      </w:r>
      <w:r>
        <w:rPr>
          <w:noProof/>
        </w:rPr>
        <w:br/>
      </w:r>
      <w:r w:rsidRPr="00EA613E">
        <w:rPr>
          <w:rStyle w:val="Svakreferanse"/>
        </w:rPr>
        <w:t>Kilde: BI v/ prof. Amir Sasson | NyAnalyse</w:t>
      </w:r>
    </w:p>
    <w:p w14:paraId="1A29DED5" w14:textId="4C6F9762" w:rsidR="00CF2BAF" w:rsidRPr="00477532" w:rsidRDefault="00CF2BAF" w:rsidP="00B43C66">
      <w:pPr>
        <w:rPr>
          <w:b/>
          <w:bCs/>
          <w:sz w:val="12"/>
          <w:szCs w:val="12"/>
        </w:rPr>
      </w:pPr>
    </w:p>
    <w:p w14:paraId="75A11F60" w14:textId="77777777" w:rsidR="00003646" w:rsidRDefault="00003646" w:rsidP="00B43C66">
      <w:pPr>
        <w:rPr>
          <w:b/>
          <w:bCs/>
        </w:rPr>
        <w:sectPr w:rsidR="00003646" w:rsidSect="00003646">
          <w:type w:val="continuous"/>
          <w:pgSz w:w="11906" w:h="16838"/>
          <w:pgMar w:top="1417" w:right="1417" w:bottom="1417" w:left="1417" w:header="708" w:footer="708" w:gutter="0"/>
          <w:cols w:num="2" w:space="708"/>
          <w:docGrid w:linePitch="360"/>
        </w:sectPr>
      </w:pPr>
    </w:p>
    <w:p w14:paraId="6CE6BA96" w14:textId="77777777" w:rsidR="00477532" w:rsidRPr="00477532" w:rsidRDefault="00477532" w:rsidP="00A041A8">
      <w:pPr>
        <w:jc w:val="both"/>
        <w:rPr>
          <w:b/>
          <w:bCs/>
          <w:sz w:val="2"/>
          <w:szCs w:val="2"/>
        </w:rPr>
      </w:pPr>
    </w:p>
    <w:p w14:paraId="61A7CE09" w14:textId="3C6E41FF" w:rsidR="00A041A8" w:rsidRDefault="000C2F40" w:rsidP="00A041A8">
      <w:pPr>
        <w:jc w:val="both"/>
        <w:rPr>
          <w:b/>
          <w:bCs/>
          <w:sz w:val="22"/>
          <w:szCs w:val="24"/>
        </w:rPr>
      </w:pPr>
      <w:r w:rsidRPr="00A041A8">
        <w:rPr>
          <w:b/>
          <w:bCs/>
          <w:sz w:val="22"/>
          <w:szCs w:val="24"/>
        </w:rPr>
        <w:t>Samlet vurdering:</w:t>
      </w:r>
    </w:p>
    <w:p w14:paraId="42E603B1" w14:textId="34BB44B9" w:rsidR="00477532" w:rsidRDefault="000C2F40" w:rsidP="00A041A8">
      <w:pPr>
        <w:jc w:val="both"/>
        <w:rPr>
          <w:szCs w:val="21"/>
        </w:rPr>
      </w:pPr>
      <w:r w:rsidRPr="00A041A8">
        <w:rPr>
          <w:szCs w:val="21"/>
        </w:rPr>
        <w:t xml:space="preserve">Formuesskatt på arbeidende kapital virker negativt på investeringer og aktiviteten i SMB-segmentet. </w:t>
      </w:r>
      <w:r w:rsidR="00A041A8" w:rsidRPr="00A041A8">
        <w:rPr>
          <w:szCs w:val="21"/>
        </w:rPr>
        <w:t>Det hevdes at formuesskatt er nødvendig for å skattlegge de mest formuende på egnet måte. Dette gjelder ikke SMB-eiere og mindre investorer i næringsaktivitet. 98 prosent av alle som betaler formueskatt på arbeidende kapital har under 20. mill. kr i netto likningsformue og til sammen betaler de 3 mrd. kroner</w:t>
      </w:r>
      <w:r w:rsidR="00CF0CC7">
        <w:rPr>
          <w:szCs w:val="21"/>
        </w:rPr>
        <w:t xml:space="preserve"> i denne skatten</w:t>
      </w:r>
      <w:r w:rsidR="00A041A8" w:rsidRPr="00A041A8">
        <w:rPr>
          <w:szCs w:val="21"/>
        </w:rPr>
        <w:t xml:space="preserve">. </w:t>
      </w:r>
      <w:r w:rsidR="00CF0CC7">
        <w:rPr>
          <w:szCs w:val="21"/>
        </w:rPr>
        <w:t>SMB-gruppen</w:t>
      </w:r>
      <w:r w:rsidR="00A041A8" w:rsidRPr="00A041A8">
        <w:rPr>
          <w:szCs w:val="21"/>
        </w:rPr>
        <w:t xml:space="preserve"> står </w:t>
      </w:r>
      <w:r w:rsidR="00CF0CC7">
        <w:rPr>
          <w:szCs w:val="21"/>
        </w:rPr>
        <w:t>for</w:t>
      </w:r>
      <w:r w:rsidR="00A041A8" w:rsidRPr="00A041A8">
        <w:rPr>
          <w:szCs w:val="21"/>
        </w:rPr>
        <w:t xml:space="preserve"> over 2/3 av alle identifiserte arbeidsplasser eid av personer i formuesskatteposisjon.</w:t>
      </w:r>
    </w:p>
    <w:p w14:paraId="3DE0485A" w14:textId="0D287319" w:rsidR="00CF1C52" w:rsidRPr="00A041A8" w:rsidRDefault="00A041A8" w:rsidP="00A041A8">
      <w:pPr>
        <w:jc w:val="both"/>
        <w:rPr>
          <w:b/>
          <w:bCs/>
          <w:szCs w:val="21"/>
        </w:rPr>
      </w:pPr>
      <w:r w:rsidRPr="00477532">
        <w:rPr>
          <w:sz w:val="8"/>
          <w:szCs w:val="8"/>
        </w:rPr>
        <w:br/>
      </w:r>
      <w:r>
        <w:rPr>
          <w:b/>
          <w:bCs/>
          <w:szCs w:val="21"/>
        </w:rPr>
        <w:t>Økes</w:t>
      </w:r>
      <w:r w:rsidRPr="00A041A8">
        <w:rPr>
          <w:b/>
          <w:bCs/>
          <w:szCs w:val="21"/>
        </w:rPr>
        <w:t xml:space="preserve"> bunnfradraget i formuesskatten til 20 mill. kroner vil de negative virkningene av formuesskatt for hoveddelen av private arbeidsgivere </w:t>
      </w:r>
      <w:r w:rsidR="008746CA">
        <w:rPr>
          <w:b/>
          <w:bCs/>
          <w:szCs w:val="21"/>
        </w:rPr>
        <w:t xml:space="preserve">i formuesskatteposisjon </w:t>
      </w:r>
      <w:r w:rsidRPr="00A041A8">
        <w:rPr>
          <w:b/>
          <w:bCs/>
          <w:szCs w:val="21"/>
        </w:rPr>
        <w:t>forsvinne.</w:t>
      </w:r>
    </w:p>
    <w:p w14:paraId="71E0FCBF" w14:textId="250D0087" w:rsidR="00A921A8" w:rsidRDefault="00A921A8" w:rsidP="00A921A8">
      <w:pPr>
        <w:pStyle w:val="Overskrift1"/>
      </w:pPr>
      <w:bookmarkStart w:id="2" w:name="_Toc52177859"/>
      <w:bookmarkStart w:id="3" w:name="_Hlk51753396"/>
      <w:r>
        <w:lastRenderedPageBreak/>
        <w:t>SMB-SEGMENTET OG FORMUESSKATTEN I 2020</w:t>
      </w:r>
      <w:bookmarkEnd w:id="2"/>
    </w:p>
    <w:p w14:paraId="5F4D1602" w14:textId="77777777" w:rsidR="00A921A8" w:rsidRDefault="00A921A8" w:rsidP="00A921A8"/>
    <w:p w14:paraId="2B5236DA" w14:textId="1BB28862" w:rsidR="00A921A8" w:rsidRDefault="00A921A8" w:rsidP="00A921A8">
      <w:pPr>
        <w:jc w:val="both"/>
      </w:pPr>
      <w:r>
        <w:t xml:space="preserve">Dette kapittelet gir en </w:t>
      </w:r>
      <w:r w:rsidR="00351C9A">
        <w:t>oppdatert</w:t>
      </w:r>
      <w:r>
        <w:t xml:space="preserve"> statistikk og beregninger av omfang og innretning på formuesskatt på arbeidende kapital</w:t>
      </w:r>
      <w:r w:rsidR="00351C9A">
        <w:t xml:space="preserve">, et faktagrunnlag som ikke fast presenteres i offentlig statistikk. </w:t>
      </w:r>
      <w:r>
        <w:t xml:space="preserve">Tallgrunnlaget som er benyttet er i hovedsak utarbeidet av Finansdepartementet i de senere års budsjettbehandlinger, supplert med regnskapstall fra SSB og empiriske grunnlagsdata </w:t>
      </w:r>
      <w:r w:rsidR="00175339">
        <w:t>fra BI ved professor Amir Sasson.</w:t>
      </w:r>
      <w:r>
        <w:t xml:space="preserve"> </w:t>
      </w:r>
    </w:p>
    <w:p w14:paraId="2B26CC94" w14:textId="0A830D5B" w:rsidR="00351C9A" w:rsidRDefault="00351C9A" w:rsidP="00A921A8">
      <w:pPr>
        <w:jc w:val="both"/>
      </w:pPr>
    </w:p>
    <w:p w14:paraId="488E1203" w14:textId="69870DE3" w:rsidR="00351C9A" w:rsidRPr="00320E29" w:rsidRDefault="00320E29" w:rsidP="00320E29">
      <w:pPr>
        <w:pStyle w:val="Overskrift3"/>
      </w:pPr>
      <w:bookmarkStart w:id="4" w:name="_Toc52177860"/>
      <w:r>
        <w:rPr>
          <w:color w:val="000000" w:themeColor="text1"/>
        </w:rPr>
        <w:t>Formuesskattens omfang for SMB-segmentet</w:t>
      </w:r>
      <w:bookmarkEnd w:id="4"/>
    </w:p>
    <w:p w14:paraId="369E3D0B" w14:textId="222E1E9F" w:rsidR="00A921A8" w:rsidRDefault="00A921A8" w:rsidP="00A921A8">
      <w:pPr>
        <w:jc w:val="both"/>
      </w:pPr>
      <w:r>
        <w:t xml:space="preserve">Finansdepartementet har i et </w:t>
      </w:r>
      <w:r w:rsidR="00351C9A">
        <w:t>budsjett</w:t>
      </w:r>
      <w:r>
        <w:t xml:space="preserve">svar opplyst om at det i 2020 er om lag 500 000 personer som vil betale formuesskatt. Dette fordeler seg mellom om lag 100 000 personer som betaler formuesskatt på privat, ikke-næringsrelatert kapital og 400 000 personer som også betaler formuesskatt på næringsrelatert, arbeidende kapital. I et annet budsjettsvar henviser Finansdepartementet til at det er om lag 550 000 personer som betaler formuesskatt, men dette anslaget er ikke fordelt mellom privat og arbeidende kapital. Legges </w:t>
      </w:r>
      <w:proofErr w:type="spellStart"/>
      <w:r>
        <w:t>forholdsbrøken</w:t>
      </w:r>
      <w:proofErr w:type="spellEnd"/>
      <w:r>
        <w:t xml:space="preserve"> fra det avrundede estimatet til grunn, tilsvarer det at det er om lag 440 000 personer som betaler formuesskatt på arbeidende kapital i 2020</w:t>
      </w:r>
      <w:r w:rsidR="00175339">
        <w:t>.</w:t>
      </w:r>
    </w:p>
    <w:p w14:paraId="6F98ABE8" w14:textId="77777777" w:rsidR="00A921A8" w:rsidRDefault="00A921A8" w:rsidP="00A921A8">
      <w:pPr>
        <w:pStyle w:val="Bildetekst"/>
      </w:pPr>
    </w:p>
    <w:p w14:paraId="4F07C61C" w14:textId="2123A3D0" w:rsidR="00A921A8" w:rsidRDefault="00A921A8" w:rsidP="00A921A8">
      <w:pPr>
        <w:pStyle w:val="Bildetekst"/>
      </w:pPr>
      <w:r>
        <w:t xml:space="preserve">Figur </w:t>
      </w:r>
      <w:r w:rsidR="009A6A52">
        <w:fldChar w:fldCharType="begin"/>
      </w:r>
      <w:r w:rsidR="009A6A52">
        <w:instrText xml:space="preserve"> SEQ Figur \* ARABIC </w:instrText>
      </w:r>
      <w:r w:rsidR="009A6A52">
        <w:fldChar w:fldCharType="separate"/>
      </w:r>
      <w:r w:rsidR="00080758">
        <w:rPr>
          <w:noProof/>
        </w:rPr>
        <w:t>1</w:t>
      </w:r>
      <w:r w:rsidR="009A6A52">
        <w:rPr>
          <w:noProof/>
        </w:rPr>
        <w:fldChar w:fldCharType="end"/>
      </w:r>
      <w:r>
        <w:t>: Estimer</w:t>
      </w:r>
      <w:r w:rsidR="00175339">
        <w:t>t</w:t>
      </w:r>
      <w:r>
        <w:t xml:space="preserve"> a</w:t>
      </w:r>
      <w:r w:rsidRPr="00525E69">
        <w:t>ntall skatteytere som betaler formuesskatt på hhv. kun privat, ikke-næringsrelatert kapital, og også på arbeidende, næringsrelatert kapital</w:t>
      </w:r>
      <w:r>
        <w:t xml:space="preserve"> i</w:t>
      </w:r>
      <w:r w:rsidRPr="00525E69">
        <w:t xml:space="preserve"> 2020</w:t>
      </w:r>
    </w:p>
    <w:p w14:paraId="7848107C" w14:textId="77777777" w:rsidR="00A921A8" w:rsidRDefault="00A921A8" w:rsidP="00A921A8">
      <w:pPr>
        <w:spacing w:line="240" w:lineRule="auto"/>
      </w:pPr>
      <w:r w:rsidRPr="008647AF">
        <w:rPr>
          <w:noProof/>
        </w:rPr>
        <w:drawing>
          <wp:inline distT="0" distB="0" distL="0" distR="0" wp14:anchorId="16FE2BCB" wp14:editId="4EB56FBF">
            <wp:extent cx="5724525" cy="2010229"/>
            <wp:effectExtent l="0" t="0" r="0" b="0"/>
            <wp:docPr id="46" name="Diagram 46">
              <a:extLst xmlns:a="http://schemas.openxmlformats.org/drawingml/2006/main">
                <a:ext uri="{FF2B5EF4-FFF2-40B4-BE49-F238E27FC236}">
                  <a16:creationId xmlns:a16="http://schemas.microsoft.com/office/drawing/2014/main" id="{4CDD6959-D32A-4710-839A-891D28B276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AD6FF6" w14:textId="77777777" w:rsidR="00A921A8" w:rsidRDefault="00A921A8" w:rsidP="00A921A8">
      <w:pPr>
        <w:spacing w:line="240" w:lineRule="auto"/>
        <w:rPr>
          <w:sz w:val="16"/>
          <w:szCs w:val="16"/>
        </w:rPr>
      </w:pPr>
      <w:r w:rsidRPr="00525E69">
        <w:rPr>
          <w:sz w:val="16"/>
          <w:szCs w:val="16"/>
        </w:rPr>
        <w:t>Kilde: NyAnalyse, basert på tallgrunnlag fra Finansdepartementet</w:t>
      </w:r>
    </w:p>
    <w:p w14:paraId="3BAD2794" w14:textId="77777777" w:rsidR="00A921A8" w:rsidRDefault="00A921A8" w:rsidP="00A921A8">
      <w:pPr>
        <w:jc w:val="both"/>
      </w:pPr>
    </w:p>
    <w:p w14:paraId="7D519577" w14:textId="77777777" w:rsidR="008746CA" w:rsidRDefault="008746CA" w:rsidP="00A921A8">
      <w:pPr>
        <w:jc w:val="both"/>
        <w:rPr>
          <w:rStyle w:val="fontstyle01"/>
          <w:rFonts w:ascii="Century Gothic" w:hAnsi="Century Gothic"/>
          <w:b w:val="0"/>
          <w:bCs w:val="0"/>
          <w:sz w:val="21"/>
          <w:szCs w:val="21"/>
        </w:rPr>
      </w:pPr>
    </w:p>
    <w:p w14:paraId="6AE933E3" w14:textId="5E5981D7" w:rsidR="00DE7A57" w:rsidRDefault="00A921A8" w:rsidP="00A921A8">
      <w:pPr>
        <w:jc w:val="both"/>
        <w:rPr>
          <w:rStyle w:val="fontstyle01"/>
          <w:rFonts w:ascii="Century Gothic" w:hAnsi="Century Gothic"/>
          <w:b w:val="0"/>
          <w:bCs w:val="0"/>
          <w:sz w:val="21"/>
          <w:szCs w:val="21"/>
        </w:rPr>
      </w:pPr>
      <w:r>
        <w:rPr>
          <w:rStyle w:val="fontstyle01"/>
          <w:rFonts w:ascii="Century Gothic" w:hAnsi="Century Gothic"/>
          <w:b w:val="0"/>
          <w:bCs w:val="0"/>
          <w:sz w:val="21"/>
          <w:szCs w:val="21"/>
        </w:rPr>
        <w:t>Finansdepartementet har i tilgjengelig tallmateriale for 2020 ikke oppgitt fordeling av formuesskatt på arbeidende kapital etter formue, men om man tar utgangspunkt i situasjonen i 2019</w:t>
      </w:r>
      <w:r w:rsidR="00BF1486">
        <w:rPr>
          <w:rStyle w:val="fontstyle01"/>
          <w:rFonts w:ascii="Century Gothic" w:hAnsi="Century Gothic"/>
          <w:b w:val="0"/>
          <w:bCs w:val="0"/>
          <w:sz w:val="21"/>
          <w:szCs w:val="21"/>
        </w:rPr>
        <w:t>,</w:t>
      </w:r>
      <w:r>
        <w:rPr>
          <w:rStyle w:val="fontstyle01"/>
          <w:rFonts w:ascii="Century Gothic" w:hAnsi="Century Gothic"/>
          <w:b w:val="0"/>
          <w:bCs w:val="0"/>
          <w:sz w:val="21"/>
          <w:szCs w:val="21"/>
        </w:rPr>
        <w:t xml:space="preserve"> så går det an å estimere fordelingen av formuesskatten på arbeidende kapital i 2020 etter netto likningsformue. </w:t>
      </w:r>
    </w:p>
    <w:p w14:paraId="1B401727" w14:textId="77777777" w:rsidR="00DE7A57" w:rsidRPr="00DE7A57" w:rsidRDefault="00DE7A57" w:rsidP="00A921A8">
      <w:pPr>
        <w:jc w:val="both"/>
        <w:rPr>
          <w:rStyle w:val="fontstyle01"/>
          <w:rFonts w:ascii="Century Gothic" w:hAnsi="Century Gothic"/>
          <w:b w:val="0"/>
          <w:bCs w:val="0"/>
          <w:sz w:val="16"/>
          <w:szCs w:val="16"/>
        </w:rPr>
      </w:pPr>
    </w:p>
    <w:p w14:paraId="12FFB0BE" w14:textId="3C3D160B" w:rsidR="00DE7A57" w:rsidRDefault="00A921A8" w:rsidP="00A921A8">
      <w:pPr>
        <w:jc w:val="both"/>
        <w:rPr>
          <w:rStyle w:val="fontstyle01"/>
          <w:rFonts w:ascii="Century Gothic" w:hAnsi="Century Gothic"/>
          <w:b w:val="0"/>
          <w:bCs w:val="0"/>
          <w:sz w:val="21"/>
          <w:szCs w:val="21"/>
        </w:rPr>
      </w:pPr>
      <w:r>
        <w:rPr>
          <w:rStyle w:val="fontstyle01"/>
          <w:rFonts w:ascii="Century Gothic" w:hAnsi="Century Gothic"/>
          <w:b w:val="0"/>
          <w:bCs w:val="0"/>
          <w:sz w:val="21"/>
          <w:szCs w:val="21"/>
        </w:rPr>
        <w:lastRenderedPageBreak/>
        <w:t xml:space="preserve">Innerste ring </w:t>
      </w:r>
      <w:r w:rsidR="00DE7A57">
        <w:rPr>
          <w:rStyle w:val="fontstyle01"/>
          <w:rFonts w:ascii="Century Gothic" w:hAnsi="Century Gothic"/>
          <w:b w:val="0"/>
          <w:bCs w:val="0"/>
          <w:sz w:val="21"/>
          <w:szCs w:val="21"/>
        </w:rPr>
        <w:t xml:space="preserve">i figur 2 </w:t>
      </w:r>
      <w:r>
        <w:rPr>
          <w:rStyle w:val="fontstyle01"/>
          <w:rFonts w:ascii="Century Gothic" w:hAnsi="Century Gothic"/>
          <w:b w:val="0"/>
          <w:bCs w:val="0"/>
          <w:sz w:val="21"/>
          <w:szCs w:val="21"/>
        </w:rPr>
        <w:t>viser fordelingen av de som estimeres å betale formuesskatt på arbeidende kapital etter netto likningsformue. Disse betaler normalt og formuesskatt på private aktiva, som primærbolig, fritidsbolig, bil og båt, så netto likningsformuen reflekterer både likningsverdien av private aktiva og ulike næringsrelaterte aktiva. Likningsverdien av bedrifter vil variere og unoterte bedrifter er normalt verdsatt med lavere likningsverdi enn børsnoterte bedrifter</w:t>
      </w:r>
      <w:r w:rsidR="00DE7A57">
        <w:rPr>
          <w:rStyle w:val="fontstyle01"/>
          <w:rFonts w:ascii="Century Gothic" w:hAnsi="Century Gothic"/>
          <w:b w:val="0"/>
          <w:bCs w:val="0"/>
          <w:sz w:val="21"/>
          <w:szCs w:val="21"/>
        </w:rPr>
        <w:t xml:space="preserve"> siden deres verdsettelse er basert på bokført kapital mens</w:t>
      </w:r>
      <w:r>
        <w:rPr>
          <w:rStyle w:val="fontstyle01"/>
          <w:rFonts w:ascii="Century Gothic" w:hAnsi="Century Gothic"/>
          <w:b w:val="0"/>
          <w:bCs w:val="0"/>
          <w:sz w:val="21"/>
          <w:szCs w:val="21"/>
        </w:rPr>
        <w:t xml:space="preserve">. </w:t>
      </w:r>
      <w:r w:rsidR="00DE7A57">
        <w:rPr>
          <w:rStyle w:val="fontstyle01"/>
          <w:rFonts w:ascii="Century Gothic" w:hAnsi="Century Gothic"/>
          <w:b w:val="0"/>
          <w:bCs w:val="0"/>
          <w:sz w:val="21"/>
          <w:szCs w:val="21"/>
        </w:rPr>
        <w:t>Finansdepartementets tallgrunnlag angir ikke eiere av SM</w:t>
      </w:r>
      <w:r w:rsidR="004F5651">
        <w:rPr>
          <w:rStyle w:val="fontstyle01"/>
          <w:rFonts w:ascii="Century Gothic" w:hAnsi="Century Gothic"/>
          <w:b w:val="0"/>
          <w:bCs w:val="0"/>
          <w:sz w:val="21"/>
          <w:szCs w:val="21"/>
        </w:rPr>
        <w:t>B</w:t>
      </w:r>
      <w:r w:rsidR="00DE7A57">
        <w:rPr>
          <w:rStyle w:val="fontstyle01"/>
          <w:rFonts w:ascii="Century Gothic" w:hAnsi="Century Gothic"/>
          <w:b w:val="0"/>
          <w:bCs w:val="0"/>
          <w:sz w:val="21"/>
          <w:szCs w:val="21"/>
        </w:rPr>
        <w:t>-bedrifter, m</w:t>
      </w:r>
      <w:r>
        <w:rPr>
          <w:rStyle w:val="fontstyle01"/>
          <w:rFonts w:ascii="Century Gothic" w:hAnsi="Century Gothic"/>
          <w:b w:val="0"/>
          <w:bCs w:val="0"/>
          <w:sz w:val="21"/>
          <w:szCs w:val="21"/>
        </w:rPr>
        <w:t xml:space="preserve">en om man velger å definere at eierskap i små bedrifter eller moderat beholdning av finansaktiva og annen næringsrelatert kapital som netto likningsformue under 20 mill. kroner, inklusiv deres private aktiva, så er det om lag 425 000 personer i denne gruppen. Det utgjør om lag 98 prosent av alle som betaler formuesskatt på arbeidende kapital eller om lag 77 prosent av alle som betaler formuesskatt. </w:t>
      </w:r>
    </w:p>
    <w:p w14:paraId="18702818" w14:textId="77777777" w:rsidR="00DE7A57" w:rsidRPr="00DE7A57" w:rsidRDefault="00DE7A57" w:rsidP="00A921A8">
      <w:pPr>
        <w:jc w:val="both"/>
        <w:rPr>
          <w:rStyle w:val="fontstyle01"/>
          <w:rFonts w:ascii="Century Gothic" w:hAnsi="Century Gothic"/>
          <w:b w:val="0"/>
          <w:bCs w:val="0"/>
          <w:sz w:val="16"/>
          <w:szCs w:val="16"/>
        </w:rPr>
      </w:pPr>
    </w:p>
    <w:p w14:paraId="7CD4324D" w14:textId="79F62EA0" w:rsidR="00A921A8" w:rsidRDefault="00A921A8" w:rsidP="00A921A8">
      <w:pPr>
        <w:jc w:val="both"/>
        <w:rPr>
          <w:rStyle w:val="fontstyle01"/>
          <w:rFonts w:ascii="Century Gothic" w:hAnsi="Century Gothic"/>
          <w:b w:val="0"/>
          <w:bCs w:val="0"/>
          <w:sz w:val="21"/>
          <w:szCs w:val="21"/>
        </w:rPr>
      </w:pPr>
      <w:r>
        <w:rPr>
          <w:rStyle w:val="fontstyle01"/>
          <w:rFonts w:ascii="Century Gothic" w:hAnsi="Century Gothic"/>
          <w:b w:val="0"/>
          <w:bCs w:val="0"/>
          <w:sz w:val="21"/>
          <w:szCs w:val="21"/>
        </w:rPr>
        <w:t xml:space="preserve">Definerer man de som har likningsformue på mellom 20 og 50 mill. kroner som representanter for mellomstore bedrifter, utgjør dette om lag </w:t>
      </w:r>
      <w:r w:rsidR="00F3620E">
        <w:rPr>
          <w:rStyle w:val="fontstyle01"/>
          <w:rFonts w:ascii="Century Gothic" w:hAnsi="Century Gothic"/>
          <w:b w:val="0"/>
          <w:bCs w:val="0"/>
          <w:sz w:val="21"/>
          <w:szCs w:val="21"/>
        </w:rPr>
        <w:t>8 300</w:t>
      </w:r>
      <w:r>
        <w:rPr>
          <w:rStyle w:val="fontstyle01"/>
          <w:rFonts w:ascii="Century Gothic" w:hAnsi="Century Gothic"/>
          <w:b w:val="0"/>
          <w:bCs w:val="0"/>
          <w:sz w:val="21"/>
          <w:szCs w:val="21"/>
        </w:rPr>
        <w:t xml:space="preserve"> personer og om lag </w:t>
      </w:r>
      <w:r w:rsidR="00825FA9">
        <w:rPr>
          <w:rStyle w:val="fontstyle01"/>
          <w:rFonts w:ascii="Century Gothic" w:hAnsi="Century Gothic"/>
          <w:b w:val="0"/>
          <w:bCs w:val="0"/>
          <w:sz w:val="21"/>
          <w:szCs w:val="21"/>
        </w:rPr>
        <w:t>2</w:t>
      </w:r>
      <w:r>
        <w:rPr>
          <w:rStyle w:val="fontstyle01"/>
          <w:rFonts w:ascii="Century Gothic" w:hAnsi="Century Gothic"/>
          <w:b w:val="0"/>
          <w:bCs w:val="0"/>
          <w:sz w:val="21"/>
          <w:szCs w:val="21"/>
        </w:rPr>
        <w:t xml:space="preserve"> prosent av alle som betaler formuesskatt på arbeidende kapital. De som har likningsformue over </w:t>
      </w:r>
      <w:r w:rsidR="00825FA9">
        <w:rPr>
          <w:rStyle w:val="fontstyle01"/>
          <w:rFonts w:ascii="Century Gothic" w:hAnsi="Century Gothic"/>
          <w:b w:val="0"/>
          <w:bCs w:val="0"/>
          <w:sz w:val="21"/>
          <w:szCs w:val="21"/>
        </w:rPr>
        <w:t>50</w:t>
      </w:r>
      <w:r>
        <w:rPr>
          <w:rStyle w:val="fontstyle01"/>
          <w:rFonts w:ascii="Century Gothic" w:hAnsi="Century Gothic"/>
          <w:b w:val="0"/>
          <w:bCs w:val="0"/>
          <w:sz w:val="21"/>
          <w:szCs w:val="21"/>
        </w:rPr>
        <w:t xml:space="preserve"> mill. kroner utgjør om lag </w:t>
      </w:r>
      <w:r w:rsidR="00825FA9">
        <w:rPr>
          <w:rStyle w:val="fontstyle01"/>
          <w:rFonts w:ascii="Century Gothic" w:hAnsi="Century Gothic"/>
          <w:b w:val="0"/>
          <w:bCs w:val="0"/>
          <w:sz w:val="21"/>
          <w:szCs w:val="21"/>
        </w:rPr>
        <w:t>3 700</w:t>
      </w:r>
      <w:r>
        <w:rPr>
          <w:rStyle w:val="fontstyle01"/>
          <w:rFonts w:ascii="Century Gothic" w:hAnsi="Century Gothic"/>
          <w:b w:val="0"/>
          <w:bCs w:val="0"/>
          <w:sz w:val="21"/>
          <w:szCs w:val="21"/>
        </w:rPr>
        <w:t xml:space="preserve"> personer, eller </w:t>
      </w:r>
      <w:r w:rsidR="00DE7A57">
        <w:rPr>
          <w:rStyle w:val="fontstyle01"/>
          <w:rFonts w:ascii="Century Gothic" w:hAnsi="Century Gothic"/>
          <w:b w:val="0"/>
          <w:bCs w:val="0"/>
          <w:sz w:val="21"/>
          <w:szCs w:val="21"/>
        </w:rPr>
        <w:t>under 1</w:t>
      </w:r>
      <w:r>
        <w:rPr>
          <w:rStyle w:val="fontstyle01"/>
          <w:rFonts w:ascii="Century Gothic" w:hAnsi="Century Gothic"/>
          <w:b w:val="0"/>
          <w:bCs w:val="0"/>
          <w:sz w:val="21"/>
          <w:szCs w:val="21"/>
        </w:rPr>
        <w:t xml:space="preserve"> prosent av alle som betaler formuesskatt på arbeidende kapital. </w:t>
      </w:r>
      <w:r w:rsidR="00825FA9">
        <w:rPr>
          <w:rStyle w:val="fontstyle01"/>
          <w:rFonts w:ascii="Century Gothic" w:hAnsi="Century Gothic"/>
          <w:b w:val="0"/>
          <w:bCs w:val="0"/>
          <w:sz w:val="21"/>
          <w:szCs w:val="21"/>
        </w:rPr>
        <w:t>Av disse er det om lag 1 400 personer som har netto likningsformue over 100 mill. kroner</w:t>
      </w:r>
      <w:r w:rsidR="00DE7A57">
        <w:rPr>
          <w:rStyle w:val="fontstyle01"/>
          <w:rFonts w:ascii="Century Gothic" w:hAnsi="Century Gothic"/>
          <w:b w:val="0"/>
          <w:bCs w:val="0"/>
          <w:sz w:val="21"/>
          <w:szCs w:val="21"/>
        </w:rPr>
        <w:t xml:space="preserve">. </w:t>
      </w:r>
      <w:r>
        <w:rPr>
          <w:rStyle w:val="fontstyle01"/>
          <w:rFonts w:ascii="Century Gothic" w:hAnsi="Century Gothic"/>
          <w:b w:val="0"/>
          <w:bCs w:val="0"/>
          <w:sz w:val="21"/>
          <w:szCs w:val="21"/>
        </w:rPr>
        <w:t>Er formålet å treffe de superrike, er dagens formuesskatt lite treffsikker.</w:t>
      </w:r>
    </w:p>
    <w:p w14:paraId="22B532F4" w14:textId="77777777" w:rsidR="00DE7A57" w:rsidRPr="007A7FC8" w:rsidRDefault="00DE7A57" w:rsidP="00DE7A57">
      <w:pPr>
        <w:pStyle w:val="Bildetekst"/>
        <w:rPr>
          <w:sz w:val="16"/>
          <w:szCs w:val="16"/>
        </w:rPr>
      </w:pPr>
    </w:p>
    <w:p w14:paraId="04883183" w14:textId="2F6A2B9B" w:rsidR="00DE7A57" w:rsidRDefault="00DE7A57" w:rsidP="00DE7A57">
      <w:pPr>
        <w:pStyle w:val="Bildetekst"/>
      </w:pPr>
      <w:r>
        <w:t xml:space="preserve">Figur </w:t>
      </w:r>
      <w:r w:rsidR="009A6A52">
        <w:fldChar w:fldCharType="begin"/>
      </w:r>
      <w:r w:rsidR="009A6A52">
        <w:instrText xml:space="preserve"> SEQ Figur \* ARABIC </w:instrText>
      </w:r>
      <w:r w:rsidR="009A6A52">
        <w:fldChar w:fldCharType="separate"/>
      </w:r>
      <w:r>
        <w:rPr>
          <w:noProof/>
        </w:rPr>
        <w:t>2</w:t>
      </w:r>
      <w:r w:rsidR="009A6A52">
        <w:rPr>
          <w:noProof/>
        </w:rPr>
        <w:fldChar w:fldCharType="end"/>
      </w:r>
      <w:r>
        <w:t>: Estimert fordeling av personer som betaler formuesskatt mellom gruppene «Småbedriftseier, mv», «Mellomstore bedriftseier, mv.» og «</w:t>
      </w:r>
      <w:proofErr w:type="spellStart"/>
      <w:r>
        <w:t>Storebedriftseier</w:t>
      </w:r>
      <w:proofErr w:type="spellEnd"/>
      <w:r>
        <w:t>, mv». 2020</w:t>
      </w:r>
    </w:p>
    <w:p w14:paraId="77E013AD" w14:textId="77777777" w:rsidR="00DE7A57" w:rsidRDefault="00DE7A57" w:rsidP="00DE7A57">
      <w:pPr>
        <w:jc w:val="both"/>
      </w:pPr>
      <w:r w:rsidRPr="008647AF">
        <w:rPr>
          <w:noProof/>
        </w:rPr>
        <w:drawing>
          <wp:inline distT="0" distB="0" distL="0" distR="0" wp14:anchorId="78D56E5C" wp14:editId="26004A8C">
            <wp:extent cx="5747385" cy="1973943"/>
            <wp:effectExtent l="0" t="0" r="5715" b="7620"/>
            <wp:docPr id="33" name="Diagram 33">
              <a:extLst xmlns:a="http://schemas.openxmlformats.org/drawingml/2006/main">
                <a:ext uri="{FF2B5EF4-FFF2-40B4-BE49-F238E27FC236}">
                  <a16:creationId xmlns:a16="http://schemas.microsoft.com/office/drawing/2014/main" id="{4CDD6959-D32A-4710-839A-891D28B276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5FD0AD" w14:textId="77777777" w:rsidR="00DE7A57" w:rsidRPr="00050EA4" w:rsidRDefault="00DE7A57" w:rsidP="00DE7A57">
      <w:pPr>
        <w:jc w:val="both"/>
        <w:rPr>
          <w:rStyle w:val="fontstyle01"/>
          <w:b w:val="0"/>
          <w:bCs w:val="0"/>
        </w:rPr>
      </w:pPr>
      <w:r w:rsidRPr="00525E69">
        <w:rPr>
          <w:sz w:val="16"/>
          <w:szCs w:val="16"/>
        </w:rPr>
        <w:t>Kilde: NyAnalyse, basert på tallgrunnlag fra Finansdepartementet</w:t>
      </w:r>
    </w:p>
    <w:p w14:paraId="5146315E" w14:textId="77777777" w:rsidR="008746CA" w:rsidRDefault="008746CA">
      <w:pPr>
        <w:spacing w:after="160" w:line="259" w:lineRule="auto"/>
        <w:rPr>
          <w:b/>
          <w:iCs/>
          <w:sz w:val="18"/>
          <w:szCs w:val="18"/>
        </w:rPr>
      </w:pPr>
      <w:r>
        <w:br w:type="page"/>
      </w:r>
    </w:p>
    <w:p w14:paraId="732FEAA9" w14:textId="17179C13" w:rsidR="007A7FC8" w:rsidRDefault="00A921A8" w:rsidP="007A7FC8">
      <w:pPr>
        <w:pStyle w:val="Bildetekst"/>
      </w:pPr>
      <w:r>
        <w:lastRenderedPageBreak/>
        <w:t xml:space="preserve">Figur </w:t>
      </w:r>
      <w:r w:rsidR="009A6A52">
        <w:fldChar w:fldCharType="begin"/>
      </w:r>
      <w:r w:rsidR="009A6A52">
        <w:instrText xml:space="preserve"> SEQ Figur \* ARABIC </w:instrText>
      </w:r>
      <w:r w:rsidR="009A6A52">
        <w:fldChar w:fldCharType="separate"/>
      </w:r>
      <w:r w:rsidR="00DE7A57">
        <w:rPr>
          <w:noProof/>
        </w:rPr>
        <w:t>3</w:t>
      </w:r>
      <w:r w:rsidR="009A6A52">
        <w:rPr>
          <w:noProof/>
        </w:rPr>
        <w:fldChar w:fldCharType="end"/>
      </w:r>
      <w:r>
        <w:t>: Estimert fordeling av antall personer som betaler formuesskatt på arbeidende kapital, etter netto likningsformue i 2020 (indre ring)</w:t>
      </w:r>
    </w:p>
    <w:p w14:paraId="1158102A" w14:textId="0E83796B" w:rsidR="00A921A8" w:rsidRDefault="00A921A8" w:rsidP="007A7FC8">
      <w:pPr>
        <w:pStyle w:val="Bildetekst"/>
        <w:jc w:val="both"/>
        <w:rPr>
          <w:rStyle w:val="fontstyle01"/>
          <w:rFonts w:ascii="Century Gothic" w:hAnsi="Century Gothic"/>
          <w:b/>
          <w:bCs w:val="0"/>
          <w:sz w:val="21"/>
          <w:szCs w:val="21"/>
        </w:rPr>
      </w:pPr>
      <w:r w:rsidRPr="007A7FC8">
        <w:rPr>
          <w:b w:val="0"/>
          <w:bCs/>
        </w:rPr>
        <w:t xml:space="preserve">Ytre ring indikerer med grønn farge estimert eierskap i en mindre bedrift eller moderat beholdning av finansaktiva og annen næringsrelatert kapital, </w:t>
      </w:r>
      <w:r w:rsidR="007A7FC8">
        <w:rPr>
          <w:b w:val="0"/>
          <w:bCs/>
        </w:rPr>
        <w:t>oransj</w:t>
      </w:r>
      <w:r w:rsidR="004F5651">
        <w:rPr>
          <w:b w:val="0"/>
          <w:bCs/>
        </w:rPr>
        <w:t>e</w:t>
      </w:r>
      <w:r w:rsidRPr="007A7FC8">
        <w:rPr>
          <w:b w:val="0"/>
          <w:bCs/>
        </w:rPr>
        <w:t xml:space="preserve"> farge indikerer eierskap i mellomstor bedrift eller betydelig beholdning av finansaktiva og annen næringsrelatert kapital mens </w:t>
      </w:r>
      <w:r w:rsidR="007A7FC8">
        <w:rPr>
          <w:b w:val="0"/>
          <w:bCs/>
        </w:rPr>
        <w:t>blå</w:t>
      </w:r>
      <w:r w:rsidRPr="007A7FC8">
        <w:rPr>
          <w:b w:val="0"/>
          <w:bCs/>
        </w:rPr>
        <w:t xml:space="preserve"> farge indikerer eierskap i en stor bedrift eller stor beholdning av finansaktiva og annen næringsrelatert kapital.</w:t>
      </w:r>
    </w:p>
    <w:p w14:paraId="7A70CFA1" w14:textId="77777777" w:rsidR="00A921A8" w:rsidRDefault="00A921A8" w:rsidP="00A921A8">
      <w:pPr>
        <w:jc w:val="both"/>
        <w:rPr>
          <w:sz w:val="16"/>
          <w:szCs w:val="16"/>
        </w:rPr>
      </w:pPr>
      <w:r>
        <w:rPr>
          <w:noProof/>
        </w:rPr>
        <w:drawing>
          <wp:inline distT="0" distB="0" distL="0" distR="0" wp14:anchorId="2A54AF1C" wp14:editId="35065ED6">
            <wp:extent cx="5760720" cy="3190875"/>
            <wp:effectExtent l="0" t="0" r="0" b="0"/>
            <wp:docPr id="32" name="Diagra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DA526A" w14:textId="77777777" w:rsidR="00A921A8" w:rsidRPr="00050EA4" w:rsidRDefault="00A921A8" w:rsidP="00A921A8">
      <w:pPr>
        <w:jc w:val="both"/>
        <w:rPr>
          <w:rStyle w:val="fontstyle01"/>
          <w:b w:val="0"/>
          <w:bCs w:val="0"/>
        </w:rPr>
      </w:pPr>
      <w:r w:rsidRPr="00525E69">
        <w:rPr>
          <w:sz w:val="16"/>
          <w:szCs w:val="16"/>
        </w:rPr>
        <w:t>Kilde: NyAnalyse, basert på tallgrunnlag fra Finansdepartementet</w:t>
      </w:r>
    </w:p>
    <w:p w14:paraId="3C41F0EE" w14:textId="77777777" w:rsidR="00351C9A" w:rsidRDefault="00351C9A" w:rsidP="00080758">
      <w:pPr>
        <w:pStyle w:val="Bildetekst"/>
      </w:pPr>
    </w:p>
    <w:p w14:paraId="44F89099" w14:textId="4B1DEF51" w:rsidR="00A97E89" w:rsidRDefault="00A921A8" w:rsidP="00A921A8">
      <w:pPr>
        <w:jc w:val="both"/>
      </w:pPr>
      <w:r>
        <w:t xml:space="preserve">Med endringene som ble vedtatt i Revidert nasjonalbudsjett 2020, hvor korona-krisepakkene inngikk og verdsettelsesrabatten for aksjer og driftsmidler ble økt fra 25 til 35 prosent, er formuesskatten av Finansdepartementet estimert å utgjøre 16,1 mrd. kroner i 2020. Dette fordeler seg nesten likt mellom formuesskatt på personlig, ikke-næringsrelatert kapital (slik som primærbolig, fritidsbolig, bil, fritidsbåt, bankinnskudd, mv.), som utgjør 7,9 mrd. kroner, og formuesskatt på næringsrelatert, arbeidende kapital, som utgjør 8,2 mrd. kroner. </w:t>
      </w:r>
      <w:r w:rsidR="00A97E89">
        <w:t>Det er her verdt å merke seg at hoveddelen av formuesskatten på personlig, ikke-næringsrelatert kapital betales av personer som også betaler formuesskatt på arbeidende kapital. Skulle formuesskatt på arbeidende kapital bli avviklet, slik regjeringspartiene og Frp tok til orde for ved skattereformen av 2016, vil personer med formuesskatt på næringskapital fremdeles betale hoveddelen av formuesskatt på private aktiva</w:t>
      </w:r>
      <w:r w:rsidR="00191F07">
        <w:t>.</w:t>
      </w:r>
    </w:p>
    <w:p w14:paraId="60D193E3" w14:textId="77777777" w:rsidR="00A97E89" w:rsidRDefault="00A97E89" w:rsidP="00A921A8">
      <w:pPr>
        <w:jc w:val="both"/>
      </w:pPr>
    </w:p>
    <w:p w14:paraId="0173D607" w14:textId="5E2B3A3B" w:rsidR="00A921A8" w:rsidRDefault="00A97E89" w:rsidP="00A921A8">
      <w:pPr>
        <w:jc w:val="both"/>
      </w:pPr>
      <w:r>
        <w:t>Det er og verdt å merke seg at i</w:t>
      </w:r>
      <w:r w:rsidR="00A921A8">
        <w:t xml:space="preserve"> det opprinnelige statsbudsjettet </w:t>
      </w:r>
      <w:r>
        <w:t>for 2020 som ble vedtatt i fjor høst var</w:t>
      </w:r>
      <w:r w:rsidR="00A921A8">
        <w:t xml:space="preserve"> verdsettelsesrabatten på aksjer og driftsmidler </w:t>
      </w:r>
      <w:r>
        <w:t>satt til</w:t>
      </w:r>
      <w:r w:rsidR="00A921A8">
        <w:t xml:space="preserve"> 25 prosent</w:t>
      </w:r>
      <w:r>
        <w:t xml:space="preserve">. Det gjorde at den opprinnelige vedtatte </w:t>
      </w:r>
      <w:r w:rsidR="00A921A8">
        <w:t xml:space="preserve">formuesskatten på arbeidende kapital, og derved formuesskatten totalt sett, </w:t>
      </w:r>
      <w:r>
        <w:t xml:space="preserve">var </w:t>
      </w:r>
      <w:r w:rsidR="00A921A8">
        <w:t>1,5 mrd. kroner høyere.</w:t>
      </w:r>
    </w:p>
    <w:p w14:paraId="4D075148" w14:textId="208F2AD0" w:rsidR="00A921A8" w:rsidRDefault="00A921A8" w:rsidP="00A921A8">
      <w:pPr>
        <w:pStyle w:val="Bildetekst"/>
      </w:pPr>
      <w:r>
        <w:lastRenderedPageBreak/>
        <w:t xml:space="preserve">Figur </w:t>
      </w:r>
      <w:r w:rsidR="009A6A52">
        <w:fldChar w:fldCharType="begin"/>
      </w:r>
      <w:r w:rsidR="009A6A52">
        <w:instrText xml:space="preserve"> SEQ Figur \* ARABIC </w:instrText>
      </w:r>
      <w:r w:rsidR="009A6A52">
        <w:fldChar w:fldCharType="separate"/>
      </w:r>
      <w:r w:rsidR="008746CA">
        <w:rPr>
          <w:noProof/>
        </w:rPr>
        <w:t>4</w:t>
      </w:r>
      <w:r w:rsidR="009A6A52">
        <w:rPr>
          <w:noProof/>
        </w:rPr>
        <w:fldChar w:fldCharType="end"/>
      </w:r>
      <w:r>
        <w:t>: Formuesskatt fordelt på personlig, ikke-næringsrelatert kapital og næringsrelatert, arbeidende kapital. Mrd. kr.</w:t>
      </w:r>
      <w:r w:rsidR="007A7FC8">
        <w:t xml:space="preserve"> 2020</w:t>
      </w:r>
    </w:p>
    <w:p w14:paraId="2CC61604" w14:textId="77777777" w:rsidR="00A921A8" w:rsidRDefault="00A921A8" w:rsidP="00A921A8">
      <w:pPr>
        <w:spacing w:line="240" w:lineRule="auto"/>
      </w:pPr>
      <w:r w:rsidRPr="00321ED5">
        <w:rPr>
          <w:noProof/>
          <w:sz w:val="20"/>
          <w:szCs w:val="20"/>
        </w:rPr>
        <w:drawing>
          <wp:inline distT="0" distB="0" distL="0" distR="0" wp14:anchorId="4A9D28ED" wp14:editId="7CEBF06C">
            <wp:extent cx="4982028" cy="2743200"/>
            <wp:effectExtent l="0" t="0" r="0" b="0"/>
            <wp:docPr id="45" name="Diagram 45">
              <a:extLst xmlns:a="http://schemas.openxmlformats.org/drawingml/2006/main">
                <a:ext uri="{FF2B5EF4-FFF2-40B4-BE49-F238E27FC236}">
                  <a16:creationId xmlns:a16="http://schemas.microsoft.com/office/drawing/2014/main" id="{9AC16F22-27D9-4422-ACE9-060684D6AE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476FA5" w14:textId="77777777" w:rsidR="00A921A8" w:rsidRPr="00525E69" w:rsidRDefault="00A921A8" w:rsidP="00A921A8">
      <w:pPr>
        <w:spacing w:line="240" w:lineRule="auto"/>
        <w:rPr>
          <w:sz w:val="16"/>
          <w:szCs w:val="16"/>
        </w:rPr>
      </w:pPr>
      <w:r w:rsidRPr="00525E69">
        <w:rPr>
          <w:sz w:val="16"/>
          <w:szCs w:val="16"/>
        </w:rPr>
        <w:t>Kilde: NyAnalyse, basert på tallgrunnlag fra Finansdepartementet</w:t>
      </w:r>
    </w:p>
    <w:p w14:paraId="3D92DEC3" w14:textId="77777777" w:rsidR="00A921A8" w:rsidRDefault="00A921A8" w:rsidP="00A921A8">
      <w:pPr>
        <w:spacing w:line="240" w:lineRule="auto"/>
      </w:pPr>
    </w:p>
    <w:p w14:paraId="4E3262C1" w14:textId="62ECD280" w:rsidR="0027788F" w:rsidRDefault="0027788F" w:rsidP="00320E29">
      <w:pPr>
        <w:jc w:val="both"/>
      </w:pPr>
      <w:r>
        <w:t xml:space="preserve">Hvis man tar utgangspunkt i fordelingen på betalt formuesskatt på arbeidende kapital mellom de tre bedriftseier-gruppene vist i figur 2 og 3 så fremtrer det et helt annet bilde enn </w:t>
      </w:r>
      <w:r w:rsidR="00102DDA">
        <w:t xml:space="preserve">antallsfordelingen gir. «Småbedriftseier, mv» gruppen, </w:t>
      </w:r>
      <w:r w:rsidR="00377B0F">
        <w:t>de med samlet netto likningsverdi</w:t>
      </w:r>
      <w:r w:rsidR="00102DDA">
        <w:t xml:space="preserve">de </w:t>
      </w:r>
      <w:r w:rsidR="00BF1486">
        <w:t xml:space="preserve">under 20 mill. kroner, </w:t>
      </w:r>
      <w:r w:rsidR="00102DDA">
        <w:t>skattlegges for eierskap av</w:t>
      </w:r>
      <w:r w:rsidR="00BF1486">
        <w:t>/i</w:t>
      </w:r>
      <w:r w:rsidR="00102DDA">
        <w:t xml:space="preserve"> småbedrifter eller har moderate finans- eller annen næringskapital, betaler til sammen </w:t>
      </w:r>
      <w:r w:rsidR="00377B0F">
        <w:t>om lag 3,0 mrd. kroner i formuesskatt på arbeidende kapital, som utgjør om lag 36 prosent av totalen</w:t>
      </w:r>
      <w:r w:rsidR="007A7FC8">
        <w:t xml:space="preserve"> i 2020</w:t>
      </w:r>
      <w:r w:rsidR="00377B0F">
        <w:t xml:space="preserve">. Gruppen «Mellomstore bedriftseiere, mv </w:t>
      </w:r>
      <w:r w:rsidR="007A7FC8">
        <w:t xml:space="preserve">står for om lag 1,0 mrd. kroner, </w:t>
      </w:r>
      <w:r w:rsidR="00424879">
        <w:t>som utgjør</w:t>
      </w:r>
      <w:r w:rsidR="004F5651">
        <w:t xml:space="preserve"> </w:t>
      </w:r>
      <w:r w:rsidR="00424879">
        <w:t xml:space="preserve">16 prosent. Gruppen «Store bedriftseiere, mv» står for om lag 4,0 mrd. kroner, som utgjør 48 prosent av totalen. Av dette betales 3,0 mrd. kroner av de med likningsformue over 100 mill. kroner. </w:t>
      </w:r>
    </w:p>
    <w:p w14:paraId="62E6A0EA" w14:textId="77777777" w:rsidR="0027788F" w:rsidRPr="00BF1486" w:rsidRDefault="0027788F">
      <w:pPr>
        <w:spacing w:after="160" w:line="259" w:lineRule="auto"/>
        <w:rPr>
          <w:sz w:val="2"/>
          <w:szCs w:val="2"/>
        </w:rPr>
      </w:pPr>
    </w:p>
    <w:p w14:paraId="44B817BC" w14:textId="11B3B717" w:rsidR="0027788F" w:rsidRDefault="0027788F" w:rsidP="0027788F">
      <w:pPr>
        <w:pStyle w:val="Bildetekst"/>
      </w:pPr>
      <w:r>
        <w:t xml:space="preserve">Figur </w:t>
      </w:r>
      <w:r w:rsidR="009A6A52">
        <w:fldChar w:fldCharType="begin"/>
      </w:r>
      <w:r w:rsidR="009A6A52">
        <w:instrText xml:space="preserve"> SEQ Figur \* ARABIC </w:instrText>
      </w:r>
      <w:r w:rsidR="009A6A52">
        <w:fldChar w:fldCharType="separate"/>
      </w:r>
      <w:r w:rsidR="008746CA">
        <w:rPr>
          <w:noProof/>
        </w:rPr>
        <w:t>5</w:t>
      </w:r>
      <w:r w:rsidR="009A6A52">
        <w:rPr>
          <w:noProof/>
        </w:rPr>
        <w:fldChar w:fldCharType="end"/>
      </w:r>
      <w:r>
        <w:t xml:space="preserve">: Estimert </w:t>
      </w:r>
      <w:r w:rsidR="00377B0F">
        <w:t>proveny betalt i</w:t>
      </w:r>
      <w:r>
        <w:t xml:space="preserve"> formuesskatt på næringsrelatert, arbeidende kapital </w:t>
      </w:r>
      <w:r w:rsidR="00377B0F">
        <w:t>for</w:t>
      </w:r>
      <w:r>
        <w:t xml:space="preserve"> gruppene «Småbedriftseier, mv», «Mellomstor bedriftseier, mv.» og «Stor</w:t>
      </w:r>
      <w:r w:rsidR="00B83A02">
        <w:t xml:space="preserve"> </w:t>
      </w:r>
      <w:r>
        <w:t xml:space="preserve">bedriftseier, mv». </w:t>
      </w:r>
      <w:r w:rsidR="00CF1C52">
        <w:t xml:space="preserve">Mrd. kroner. </w:t>
      </w:r>
      <w:r w:rsidR="00377B0F">
        <w:t>2020</w:t>
      </w:r>
    </w:p>
    <w:p w14:paraId="65736242" w14:textId="77777777" w:rsidR="0027788F" w:rsidRDefault="0027788F" w:rsidP="0027788F">
      <w:pPr>
        <w:jc w:val="both"/>
      </w:pPr>
      <w:r w:rsidRPr="008647AF">
        <w:rPr>
          <w:noProof/>
        </w:rPr>
        <w:drawing>
          <wp:inline distT="0" distB="0" distL="0" distR="0" wp14:anchorId="4A5FDCB7" wp14:editId="768D89E2">
            <wp:extent cx="5747385" cy="2205038"/>
            <wp:effectExtent l="0" t="0" r="5715" b="5080"/>
            <wp:docPr id="34" name="Diagram 34">
              <a:extLst xmlns:a="http://schemas.openxmlformats.org/drawingml/2006/main">
                <a:ext uri="{FF2B5EF4-FFF2-40B4-BE49-F238E27FC236}">
                  <a16:creationId xmlns:a16="http://schemas.microsoft.com/office/drawing/2014/main" id="{4CDD6959-D32A-4710-839A-891D28B276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8D6B73" w14:textId="77777777" w:rsidR="0027788F" w:rsidRPr="00050EA4" w:rsidRDefault="0027788F" w:rsidP="0027788F">
      <w:pPr>
        <w:jc w:val="both"/>
        <w:rPr>
          <w:rStyle w:val="fontstyle01"/>
          <w:b w:val="0"/>
          <w:bCs w:val="0"/>
        </w:rPr>
      </w:pPr>
      <w:r w:rsidRPr="00525E69">
        <w:rPr>
          <w:sz w:val="16"/>
          <w:szCs w:val="16"/>
        </w:rPr>
        <w:t>Kilde: NyAnalyse, basert på tallgrunnlag fra Finansdepartementet</w:t>
      </w:r>
    </w:p>
    <w:p w14:paraId="46C446D5" w14:textId="64F342E5" w:rsidR="0027788F" w:rsidRDefault="00A921A8" w:rsidP="00A921A8">
      <w:pPr>
        <w:jc w:val="both"/>
      </w:pPr>
      <w:r>
        <w:lastRenderedPageBreak/>
        <w:t xml:space="preserve">Figur </w:t>
      </w:r>
      <w:r w:rsidR="00424879">
        <w:t>6</w:t>
      </w:r>
      <w:r>
        <w:t xml:space="preserve"> viser utviklingen i samlet formuesskatt fra 2013 til 2020 og figur </w:t>
      </w:r>
      <w:r w:rsidR="00424879">
        <w:t>7</w:t>
      </w:r>
      <w:r>
        <w:t xml:space="preserve"> viser utviklingen i formuesskatt på arbeidende kapital i samme periode. De inflasjonsjusterte verdiene (i 2020-kroner) er også inkludert i begge figurene. Med endringene vedtatt i forbindelse med Revidert statsbudsjett for 2020 estimeres formuesskatten totalt å utgjøre om lag 16,1 mrd. kroner i 2020 for personlige skatteytere. Det er nominelt om lag 300 mill. kr lavere enn i 2019, men 2,1 mrd. kroner høyere enn i 2013. </w:t>
      </w:r>
      <w:r w:rsidR="0027788F">
        <w:t>Tar man utgangspunkt i inflasjonsjusterte anslag var formuesskatten samlet sett 16,4 mrd. kroner i 2013. Det er 300 mill. kroner høyere enn i dag.</w:t>
      </w:r>
    </w:p>
    <w:p w14:paraId="4F29767E" w14:textId="77777777" w:rsidR="0027788F" w:rsidRPr="00424879" w:rsidRDefault="0027788F" w:rsidP="00A921A8">
      <w:pPr>
        <w:jc w:val="both"/>
        <w:rPr>
          <w:sz w:val="16"/>
          <w:szCs w:val="16"/>
        </w:rPr>
      </w:pPr>
    </w:p>
    <w:p w14:paraId="66A4FAAA" w14:textId="554C234A" w:rsidR="0027788F" w:rsidRDefault="00A921A8" w:rsidP="0027788F">
      <w:pPr>
        <w:jc w:val="both"/>
      </w:pPr>
      <w:r>
        <w:t>Formuesskatten på arbeidende kapital er om lag 1,5 mrd. kroner lavere i 2020 enn i 2019, og 1,5 mrd. kroner høyere enn i 2013, nominelt målt.</w:t>
      </w:r>
      <w:r w:rsidR="0027788F">
        <w:t xml:space="preserve"> Inflasjonsjustert er formuesskatten på arbeidende kapital </w:t>
      </w:r>
      <w:r w:rsidR="00424879">
        <w:t>300</w:t>
      </w:r>
      <w:r w:rsidR="0027788F">
        <w:t xml:space="preserve"> mill. kroner </w:t>
      </w:r>
      <w:r w:rsidR="00424879">
        <w:t>høyere</w:t>
      </w:r>
      <w:r w:rsidR="0027788F">
        <w:t xml:space="preserve"> i 2020 enn den var i 2013 og </w:t>
      </w:r>
      <w:r w:rsidR="00424879">
        <w:t>1</w:t>
      </w:r>
      <w:r w:rsidR="000E2A6D">
        <w:t>,6 mrd</w:t>
      </w:r>
      <w:r w:rsidR="0027788F">
        <w:t>. kroner lavere enn den var i 2019.</w:t>
      </w:r>
      <w:bookmarkStart w:id="5" w:name="_Hlk51912326"/>
    </w:p>
    <w:p w14:paraId="5A3C745D" w14:textId="77777777" w:rsidR="0027788F" w:rsidRPr="00424879" w:rsidRDefault="0027788F" w:rsidP="0027788F">
      <w:pPr>
        <w:jc w:val="both"/>
        <w:rPr>
          <w:b/>
          <w:iCs/>
          <w:sz w:val="16"/>
          <w:szCs w:val="16"/>
        </w:rPr>
      </w:pPr>
    </w:p>
    <w:p w14:paraId="37E32B7F" w14:textId="627D1043" w:rsidR="00A921A8" w:rsidRPr="008647AF" w:rsidRDefault="00A921A8" w:rsidP="00A921A8">
      <w:pPr>
        <w:pStyle w:val="Bildetekst"/>
      </w:pPr>
      <w:r>
        <w:t xml:space="preserve">Figur </w:t>
      </w:r>
      <w:r w:rsidR="009A6A52">
        <w:fldChar w:fldCharType="begin"/>
      </w:r>
      <w:r w:rsidR="009A6A52">
        <w:instrText xml:space="preserve"> SEQ Figur \* ARABIC </w:instrText>
      </w:r>
      <w:r w:rsidR="009A6A52">
        <w:fldChar w:fldCharType="separate"/>
      </w:r>
      <w:r w:rsidR="00424879">
        <w:rPr>
          <w:noProof/>
        </w:rPr>
        <w:t>6</w:t>
      </w:r>
      <w:r w:rsidR="009A6A52">
        <w:rPr>
          <w:noProof/>
        </w:rPr>
        <w:fldChar w:fldCharType="end"/>
      </w:r>
      <w:r>
        <w:t xml:space="preserve">: </w:t>
      </w:r>
      <w:r w:rsidRPr="008647AF">
        <w:t>Betalt personlig formuesskatt, mrd. kroner, nominelt</w:t>
      </w:r>
      <w:r>
        <w:t xml:space="preserve"> og inflasjonsjustert (2020-kroner)</w:t>
      </w:r>
      <w:r w:rsidRPr="008647AF">
        <w:t>. 2013-2020</w:t>
      </w:r>
    </w:p>
    <w:p w14:paraId="2108852D" w14:textId="77777777" w:rsidR="00A921A8" w:rsidRDefault="00A921A8" w:rsidP="00A921A8">
      <w:pPr>
        <w:spacing w:line="240" w:lineRule="auto"/>
        <w:rPr>
          <w:rStyle w:val="fontstyle01"/>
        </w:rPr>
      </w:pPr>
      <w:r>
        <w:rPr>
          <w:noProof/>
        </w:rPr>
        <w:drawing>
          <wp:inline distT="0" distB="0" distL="0" distR="0" wp14:anchorId="1D3ADCD6" wp14:editId="3E17A9B6">
            <wp:extent cx="5486400" cy="2184400"/>
            <wp:effectExtent l="0" t="0" r="0" b="6350"/>
            <wp:docPr id="27"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E9C140" w14:textId="77777777" w:rsidR="00A921A8" w:rsidRPr="00525E69" w:rsidRDefault="00A921A8" w:rsidP="00A921A8">
      <w:pPr>
        <w:spacing w:line="240" w:lineRule="auto"/>
        <w:rPr>
          <w:sz w:val="16"/>
          <w:szCs w:val="16"/>
        </w:rPr>
      </w:pPr>
      <w:r w:rsidRPr="00525E69">
        <w:rPr>
          <w:sz w:val="16"/>
          <w:szCs w:val="16"/>
        </w:rPr>
        <w:t>Kilde: NyAnalyse, basert på tallgrunnlag fra Finansdepartementet</w:t>
      </w:r>
    </w:p>
    <w:p w14:paraId="48A78D0A" w14:textId="77777777" w:rsidR="00A921A8" w:rsidRDefault="00A921A8" w:rsidP="00A921A8">
      <w:pPr>
        <w:spacing w:line="240" w:lineRule="auto"/>
      </w:pPr>
    </w:p>
    <w:p w14:paraId="2B3D9736" w14:textId="2E8ADEB9" w:rsidR="00A921A8" w:rsidRPr="008647AF" w:rsidRDefault="00A921A8" w:rsidP="00A921A8">
      <w:pPr>
        <w:pStyle w:val="Bildetekst"/>
      </w:pPr>
      <w:r>
        <w:t xml:space="preserve">Figur </w:t>
      </w:r>
      <w:r w:rsidR="009A6A52">
        <w:fldChar w:fldCharType="begin"/>
      </w:r>
      <w:r w:rsidR="009A6A52">
        <w:instrText xml:space="preserve"> SEQ Figur \* ARABIC </w:instrText>
      </w:r>
      <w:r w:rsidR="009A6A52">
        <w:fldChar w:fldCharType="separate"/>
      </w:r>
      <w:r w:rsidR="000E2A6D">
        <w:rPr>
          <w:noProof/>
        </w:rPr>
        <w:t>7</w:t>
      </w:r>
      <w:r w:rsidR="009A6A52">
        <w:rPr>
          <w:noProof/>
        </w:rPr>
        <w:fldChar w:fldCharType="end"/>
      </w:r>
      <w:r>
        <w:t xml:space="preserve">: </w:t>
      </w:r>
      <w:r w:rsidRPr="008647AF">
        <w:t xml:space="preserve">Formuesskatt på </w:t>
      </w:r>
      <w:r>
        <w:t xml:space="preserve">næringsrelatert, </w:t>
      </w:r>
      <w:r w:rsidRPr="008647AF">
        <w:t>arbeidende kapital, mrd. kroner, nominelt</w:t>
      </w:r>
      <w:r>
        <w:t xml:space="preserve"> og inflasjonsjustert (2020-kroner)</w:t>
      </w:r>
      <w:r w:rsidR="0027788F">
        <w:t>. 2013 – 2020</w:t>
      </w:r>
    </w:p>
    <w:p w14:paraId="74DEC94E" w14:textId="77777777" w:rsidR="00A921A8" w:rsidRDefault="00A921A8" w:rsidP="00A921A8">
      <w:pPr>
        <w:spacing w:line="240" w:lineRule="auto"/>
        <w:rPr>
          <w:rStyle w:val="fontstyle01"/>
        </w:rPr>
      </w:pPr>
      <w:r>
        <w:rPr>
          <w:noProof/>
        </w:rPr>
        <w:drawing>
          <wp:inline distT="0" distB="0" distL="0" distR="0" wp14:anchorId="2DDD04A0" wp14:editId="6FC3CBE9">
            <wp:extent cx="5486400" cy="2500085"/>
            <wp:effectExtent l="0" t="0" r="0" b="0"/>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DDBB9C" w14:textId="77777777" w:rsidR="00A921A8" w:rsidRPr="00525E69" w:rsidRDefault="00A921A8" w:rsidP="00A921A8">
      <w:pPr>
        <w:spacing w:line="240" w:lineRule="auto"/>
        <w:rPr>
          <w:sz w:val="16"/>
          <w:szCs w:val="16"/>
        </w:rPr>
      </w:pPr>
      <w:r w:rsidRPr="00525E69">
        <w:rPr>
          <w:sz w:val="16"/>
          <w:szCs w:val="16"/>
        </w:rPr>
        <w:t>Kilde: NyAnalyse, basert på tallgrunnlag fra Finansdepartementet</w:t>
      </w:r>
    </w:p>
    <w:p w14:paraId="2B39A197" w14:textId="0201CAA9" w:rsidR="00C34156" w:rsidRPr="008746CA" w:rsidRDefault="00C34156" w:rsidP="008746CA">
      <w:pPr>
        <w:pStyle w:val="Overskrift3"/>
        <w:rPr>
          <w:rStyle w:val="fontstyle01"/>
          <w:rFonts w:ascii="Century Gothic" w:hAnsi="Century Gothic"/>
          <w:b/>
          <w:bCs w:val="0"/>
          <w:color w:val="000000" w:themeColor="text1"/>
          <w:sz w:val="21"/>
          <w:szCs w:val="21"/>
        </w:rPr>
      </w:pPr>
      <w:bookmarkStart w:id="6" w:name="_Toc52177861"/>
      <w:bookmarkEnd w:id="5"/>
      <w:r w:rsidRPr="008746CA">
        <w:rPr>
          <w:rStyle w:val="fontstyle01"/>
          <w:rFonts w:ascii="Century Gothic" w:hAnsi="Century Gothic"/>
          <w:b/>
          <w:bCs w:val="0"/>
          <w:color w:val="000000" w:themeColor="text1"/>
          <w:sz w:val="21"/>
          <w:szCs w:val="21"/>
        </w:rPr>
        <w:lastRenderedPageBreak/>
        <w:t xml:space="preserve">Skattebidraget fra SMB-segmentet </w:t>
      </w:r>
      <w:r w:rsidRPr="008746CA">
        <w:rPr>
          <w:rStyle w:val="fontstyle01"/>
          <w:rFonts w:ascii="Century Gothic" w:hAnsi="Century Gothic" w:cstheme="majorBidi"/>
          <w:b/>
          <w:bCs w:val="0"/>
          <w:color w:val="000000" w:themeColor="text1"/>
          <w:sz w:val="24"/>
          <w:szCs w:val="24"/>
        </w:rPr>
        <w:t>og</w:t>
      </w:r>
      <w:r w:rsidRPr="008746CA">
        <w:rPr>
          <w:rStyle w:val="fontstyle01"/>
          <w:rFonts w:ascii="Century Gothic" w:hAnsi="Century Gothic"/>
          <w:b/>
          <w:bCs w:val="0"/>
          <w:color w:val="000000" w:themeColor="text1"/>
          <w:sz w:val="21"/>
          <w:szCs w:val="21"/>
        </w:rPr>
        <w:t xml:space="preserve"> personer med moderat kapitalbeholdning</w:t>
      </w:r>
      <w:bookmarkEnd w:id="6"/>
    </w:p>
    <w:p w14:paraId="19C87550" w14:textId="77777777" w:rsidR="00C34156" w:rsidRDefault="00C34156" w:rsidP="0027788F">
      <w:pPr>
        <w:jc w:val="both"/>
        <w:rPr>
          <w:rStyle w:val="fontstyle01"/>
          <w:rFonts w:ascii="Century Gothic" w:hAnsi="Century Gothic"/>
          <w:b w:val="0"/>
          <w:bCs w:val="0"/>
          <w:sz w:val="21"/>
          <w:szCs w:val="21"/>
        </w:rPr>
      </w:pPr>
    </w:p>
    <w:p w14:paraId="25E7D870" w14:textId="2B5D0947" w:rsidR="00B30364" w:rsidRDefault="00A921A8" w:rsidP="0027788F">
      <w:pPr>
        <w:jc w:val="both"/>
        <w:rPr>
          <w:rStyle w:val="fontstyle01"/>
          <w:rFonts w:ascii="Century Gothic" w:hAnsi="Century Gothic"/>
          <w:b w:val="0"/>
          <w:bCs w:val="0"/>
          <w:sz w:val="21"/>
          <w:szCs w:val="21"/>
        </w:rPr>
      </w:pPr>
      <w:r w:rsidRPr="00321ED5">
        <w:rPr>
          <w:rStyle w:val="fontstyle01"/>
          <w:rFonts w:ascii="Century Gothic" w:hAnsi="Century Gothic"/>
          <w:b w:val="0"/>
          <w:bCs w:val="0"/>
          <w:sz w:val="21"/>
          <w:szCs w:val="21"/>
        </w:rPr>
        <w:t xml:space="preserve">Den samlede private beskatningen av investeringer og eierskap av næringsvirksomhet har økt betydelig de siste 15 år. Før skattereformen av 2006 var samlet kapitalskatt på overskudd i næringsvirksomhet 28 prosent og det var ingen utbytteskatt. Formuesskatt på arbeidende kapital utgjorde om lag 3 mrd. </w:t>
      </w:r>
      <w:r w:rsidR="00B30364">
        <w:rPr>
          <w:rStyle w:val="fontstyle01"/>
          <w:rFonts w:ascii="Century Gothic" w:hAnsi="Century Gothic"/>
          <w:b w:val="0"/>
          <w:bCs w:val="0"/>
          <w:sz w:val="21"/>
          <w:szCs w:val="21"/>
        </w:rPr>
        <w:t>2019</w:t>
      </w:r>
      <w:r w:rsidRPr="00321ED5">
        <w:rPr>
          <w:rStyle w:val="fontstyle01"/>
          <w:rFonts w:ascii="Century Gothic" w:hAnsi="Century Gothic"/>
          <w:b w:val="0"/>
          <w:bCs w:val="0"/>
          <w:sz w:val="21"/>
          <w:szCs w:val="21"/>
        </w:rPr>
        <w:t xml:space="preserve">-kroner. </w:t>
      </w:r>
    </w:p>
    <w:p w14:paraId="6D4CA2EC" w14:textId="77777777" w:rsidR="00B30364" w:rsidRDefault="00B30364" w:rsidP="0027788F">
      <w:pPr>
        <w:jc w:val="both"/>
        <w:rPr>
          <w:rStyle w:val="fontstyle01"/>
          <w:rFonts w:ascii="Century Gothic" w:hAnsi="Century Gothic"/>
          <w:b w:val="0"/>
          <w:bCs w:val="0"/>
          <w:sz w:val="21"/>
          <w:szCs w:val="21"/>
        </w:rPr>
      </w:pPr>
    </w:p>
    <w:p w14:paraId="5103C661" w14:textId="4A67058C" w:rsidR="00B30364" w:rsidRDefault="00A921A8" w:rsidP="0027788F">
      <w:pPr>
        <w:jc w:val="both"/>
        <w:rPr>
          <w:rStyle w:val="fontstyle01"/>
          <w:rFonts w:ascii="Century Gothic" w:hAnsi="Century Gothic"/>
          <w:b w:val="0"/>
          <w:bCs w:val="0"/>
          <w:sz w:val="21"/>
          <w:szCs w:val="21"/>
        </w:rPr>
      </w:pPr>
      <w:r w:rsidRPr="00321ED5">
        <w:rPr>
          <w:rStyle w:val="fontstyle01"/>
          <w:rFonts w:ascii="Century Gothic" w:hAnsi="Century Gothic"/>
          <w:b w:val="0"/>
          <w:bCs w:val="0"/>
          <w:sz w:val="21"/>
          <w:szCs w:val="21"/>
        </w:rPr>
        <w:t>Bondevik 2-regjeringen fikk utredet</w:t>
      </w:r>
      <w:r>
        <w:rPr>
          <w:rStyle w:val="fontstyle01"/>
          <w:rFonts w:ascii="Century Gothic" w:hAnsi="Century Gothic"/>
          <w:b w:val="0"/>
          <w:bCs w:val="0"/>
          <w:sz w:val="21"/>
          <w:szCs w:val="21"/>
        </w:rPr>
        <w:t xml:space="preserve"> dette</w:t>
      </w:r>
      <w:r w:rsidRPr="00321ED5">
        <w:rPr>
          <w:rStyle w:val="fontstyle01"/>
          <w:rFonts w:ascii="Century Gothic" w:hAnsi="Century Gothic"/>
          <w:b w:val="0"/>
          <w:bCs w:val="0"/>
          <w:sz w:val="21"/>
          <w:szCs w:val="21"/>
        </w:rPr>
        <w:t xml:space="preserve"> og foreslo innføring av en utbytteskatt, og denne ble vedtatt med et forventet proveny på 3,5 mrd. nominelle kroner i 2006. Stoltenberg II-regjeringen mer enn doblet formuesskatten på arbeidende kapital </w:t>
      </w:r>
      <w:r w:rsidR="00B30364">
        <w:rPr>
          <w:rStyle w:val="fontstyle01"/>
          <w:rFonts w:ascii="Century Gothic" w:hAnsi="Century Gothic"/>
          <w:b w:val="0"/>
          <w:bCs w:val="0"/>
          <w:sz w:val="21"/>
          <w:szCs w:val="21"/>
        </w:rPr>
        <w:t xml:space="preserve">ved regelendringer </w:t>
      </w:r>
      <w:r w:rsidRPr="00321ED5">
        <w:rPr>
          <w:rStyle w:val="fontstyle01"/>
          <w:rFonts w:ascii="Century Gothic" w:hAnsi="Century Gothic"/>
          <w:b w:val="0"/>
          <w:bCs w:val="0"/>
          <w:sz w:val="21"/>
          <w:szCs w:val="21"/>
        </w:rPr>
        <w:t xml:space="preserve">og den utgjorde 7,7 mrd. 2019-kroner i 2013. Utbytteskatten var samtidig steget til om lag 9,3 mrd. 2019-kroner, som gav en samlet personlig eierbasert beskatning av næringsvirksomhet på 17 mrd. 2019-kroner i 2013. </w:t>
      </w:r>
    </w:p>
    <w:p w14:paraId="26B35D17" w14:textId="77777777" w:rsidR="00B30364" w:rsidRDefault="00B30364" w:rsidP="0027788F">
      <w:pPr>
        <w:jc w:val="both"/>
        <w:rPr>
          <w:rStyle w:val="fontstyle01"/>
          <w:rFonts w:ascii="Century Gothic" w:hAnsi="Century Gothic"/>
          <w:b w:val="0"/>
          <w:bCs w:val="0"/>
          <w:sz w:val="21"/>
          <w:szCs w:val="21"/>
        </w:rPr>
      </w:pPr>
    </w:p>
    <w:p w14:paraId="6A4755F3" w14:textId="18DE641D" w:rsidR="00B30364" w:rsidRDefault="00A921A8" w:rsidP="0027788F">
      <w:pPr>
        <w:jc w:val="both"/>
        <w:rPr>
          <w:rStyle w:val="fontstyle01"/>
          <w:rFonts w:ascii="Century Gothic" w:hAnsi="Century Gothic"/>
          <w:b w:val="0"/>
          <w:bCs w:val="0"/>
          <w:sz w:val="21"/>
          <w:szCs w:val="21"/>
        </w:rPr>
      </w:pPr>
      <w:r w:rsidRPr="00321ED5">
        <w:rPr>
          <w:rStyle w:val="fontstyle01"/>
          <w:rFonts w:ascii="Century Gothic" w:hAnsi="Century Gothic"/>
          <w:b w:val="0"/>
          <w:bCs w:val="0"/>
          <w:sz w:val="21"/>
          <w:szCs w:val="21"/>
        </w:rPr>
        <w:t xml:space="preserve">I 2019 utgjorde den samlede personlige eierbeskatningen av næringsvirksomhet over 30 mrd. 2019-kroner, med om lag </w:t>
      </w:r>
      <w:r>
        <w:rPr>
          <w:rStyle w:val="fontstyle01"/>
          <w:rFonts w:ascii="Century Gothic" w:hAnsi="Century Gothic"/>
          <w:b w:val="0"/>
          <w:bCs w:val="0"/>
          <w:sz w:val="21"/>
          <w:szCs w:val="21"/>
        </w:rPr>
        <w:t>to tredjedeler</w:t>
      </w:r>
      <w:r w:rsidRPr="00321ED5">
        <w:rPr>
          <w:rStyle w:val="fontstyle01"/>
          <w:rFonts w:ascii="Century Gothic" w:hAnsi="Century Gothic"/>
          <w:b w:val="0"/>
          <w:bCs w:val="0"/>
          <w:sz w:val="21"/>
          <w:szCs w:val="21"/>
        </w:rPr>
        <w:t xml:space="preserve"> ved utbytteskatt (estimert til ca</w:t>
      </w:r>
      <w:r>
        <w:rPr>
          <w:rStyle w:val="fontstyle01"/>
          <w:rFonts w:ascii="Century Gothic" w:hAnsi="Century Gothic"/>
          <w:b w:val="0"/>
          <w:bCs w:val="0"/>
          <w:sz w:val="21"/>
          <w:szCs w:val="21"/>
        </w:rPr>
        <w:t>.</w:t>
      </w:r>
      <w:r w:rsidRPr="00321ED5">
        <w:rPr>
          <w:rStyle w:val="fontstyle01"/>
          <w:rFonts w:ascii="Century Gothic" w:hAnsi="Century Gothic"/>
          <w:b w:val="0"/>
          <w:bCs w:val="0"/>
          <w:sz w:val="21"/>
          <w:szCs w:val="21"/>
        </w:rPr>
        <w:t xml:space="preserve"> 21 mrd. kroner, inklusiv om lag 5 mrd. kroner i oppjustert beskatning på a</w:t>
      </w:r>
      <w:r>
        <w:rPr>
          <w:rStyle w:val="fontstyle01"/>
          <w:rFonts w:ascii="Century Gothic" w:hAnsi="Century Gothic"/>
          <w:b w:val="0"/>
          <w:bCs w:val="0"/>
          <w:sz w:val="21"/>
          <w:szCs w:val="21"/>
        </w:rPr>
        <w:t>k</w:t>
      </w:r>
      <w:r w:rsidRPr="00321ED5">
        <w:rPr>
          <w:rStyle w:val="fontstyle01"/>
          <w:rFonts w:ascii="Century Gothic" w:hAnsi="Century Gothic"/>
          <w:b w:val="0"/>
          <w:bCs w:val="0"/>
          <w:sz w:val="21"/>
          <w:szCs w:val="21"/>
        </w:rPr>
        <w:t xml:space="preserve">sjeavkastning) og om lag </w:t>
      </w:r>
      <w:r>
        <w:rPr>
          <w:rStyle w:val="fontstyle01"/>
          <w:rFonts w:ascii="Century Gothic" w:hAnsi="Century Gothic"/>
          <w:b w:val="0"/>
          <w:bCs w:val="0"/>
          <w:sz w:val="21"/>
          <w:szCs w:val="21"/>
        </w:rPr>
        <w:t>en tredjedel</w:t>
      </w:r>
      <w:r w:rsidRPr="00321ED5">
        <w:rPr>
          <w:rStyle w:val="fontstyle01"/>
          <w:rFonts w:ascii="Century Gothic" w:hAnsi="Century Gothic"/>
          <w:b w:val="0"/>
          <w:bCs w:val="0"/>
          <w:sz w:val="21"/>
          <w:szCs w:val="21"/>
        </w:rPr>
        <w:t xml:space="preserve"> ved formuesskatt på arbeidende kapital.</w:t>
      </w:r>
      <w:r w:rsidR="00B30364">
        <w:rPr>
          <w:rStyle w:val="fontstyle01"/>
          <w:rFonts w:ascii="Century Gothic" w:hAnsi="Century Gothic"/>
          <w:b w:val="0"/>
          <w:bCs w:val="0"/>
          <w:sz w:val="21"/>
          <w:szCs w:val="21"/>
        </w:rPr>
        <w:t xml:space="preserve"> </w:t>
      </w:r>
    </w:p>
    <w:p w14:paraId="577C1BDF" w14:textId="77777777" w:rsidR="00B30364" w:rsidRDefault="00B30364" w:rsidP="0027788F">
      <w:pPr>
        <w:jc w:val="both"/>
        <w:rPr>
          <w:rStyle w:val="fontstyle01"/>
          <w:rFonts w:ascii="Century Gothic" w:hAnsi="Century Gothic"/>
          <w:b w:val="0"/>
          <w:bCs w:val="0"/>
          <w:sz w:val="21"/>
          <w:szCs w:val="21"/>
        </w:rPr>
      </w:pPr>
    </w:p>
    <w:p w14:paraId="5938F7B8" w14:textId="1B1CA869" w:rsidR="00A921A8" w:rsidRPr="00321ED5" w:rsidRDefault="00B30364" w:rsidP="0027788F">
      <w:pPr>
        <w:jc w:val="both"/>
        <w:rPr>
          <w:rStyle w:val="fontstyle01"/>
          <w:rFonts w:ascii="Century Gothic" w:hAnsi="Century Gothic"/>
          <w:sz w:val="21"/>
          <w:szCs w:val="21"/>
        </w:rPr>
      </w:pPr>
      <w:r>
        <w:rPr>
          <w:rStyle w:val="fontstyle01"/>
          <w:rFonts w:ascii="Century Gothic" w:hAnsi="Century Gothic"/>
          <w:b w:val="0"/>
          <w:bCs w:val="0"/>
          <w:sz w:val="21"/>
          <w:szCs w:val="21"/>
        </w:rPr>
        <w:t>Det foreligger ikke oppdaterte anslag over utbytteskatten for 2020, men legges 2019-nivået til grunn, utgjør den samlede personlige eierbeskatningen av næringsvirksomhet om lag 29 mrd. kroner i 2020.</w:t>
      </w:r>
    </w:p>
    <w:p w14:paraId="6D6400C8" w14:textId="26E791A4" w:rsidR="00D95E8A" w:rsidRDefault="00D95E8A">
      <w:pPr>
        <w:spacing w:after="160" w:line="259" w:lineRule="auto"/>
        <w:rPr>
          <w:b/>
          <w:iCs/>
          <w:sz w:val="18"/>
          <w:szCs w:val="18"/>
        </w:rPr>
      </w:pPr>
    </w:p>
    <w:p w14:paraId="583CAF4F" w14:textId="622E8AAC" w:rsidR="00A921A8" w:rsidRPr="00012411" w:rsidRDefault="00A921A8" w:rsidP="00A921A8">
      <w:pPr>
        <w:pStyle w:val="Bildetekst"/>
      </w:pPr>
      <w:r>
        <w:t xml:space="preserve">Figur </w:t>
      </w:r>
      <w:r w:rsidR="009A6A52">
        <w:fldChar w:fldCharType="begin"/>
      </w:r>
      <w:r w:rsidR="009A6A52">
        <w:instrText xml:space="preserve"> SEQ Figur \* ARABIC </w:instrText>
      </w:r>
      <w:r w:rsidR="009A6A52">
        <w:fldChar w:fldCharType="separate"/>
      </w:r>
      <w:r w:rsidR="000E2A6D">
        <w:rPr>
          <w:noProof/>
        </w:rPr>
        <w:t>8</w:t>
      </w:r>
      <w:r w:rsidR="009A6A52">
        <w:rPr>
          <w:noProof/>
        </w:rPr>
        <w:fldChar w:fldCharType="end"/>
      </w:r>
      <w:r>
        <w:t xml:space="preserve">: </w:t>
      </w:r>
      <w:r w:rsidRPr="008647AF">
        <w:t xml:space="preserve">Formuesskatt </w:t>
      </w:r>
      <w:r w:rsidRPr="00012411">
        <w:t xml:space="preserve">på arbeidende kapital og estimat på utbytteskatt. 2005, 2013 og 2019. </w:t>
      </w:r>
      <w:r w:rsidRPr="00012411">
        <w:br/>
        <w:t>Inflasjonsjustert, milliarder 2019-kroner</w:t>
      </w:r>
    </w:p>
    <w:p w14:paraId="2B1E3E5F" w14:textId="77777777" w:rsidR="00A921A8" w:rsidRDefault="00A921A8" w:rsidP="00A921A8">
      <w:pPr>
        <w:spacing w:line="240" w:lineRule="auto"/>
        <w:rPr>
          <w:rStyle w:val="fontstyle01"/>
        </w:rPr>
      </w:pPr>
      <w:r w:rsidRPr="00012411">
        <w:rPr>
          <w:rFonts w:ascii="Calibri" w:hAnsi="Calibri" w:cs="Calibri"/>
          <w:b/>
          <w:bCs/>
          <w:noProof/>
          <w:color w:val="000000"/>
          <w:sz w:val="22"/>
        </w:rPr>
        <w:drawing>
          <wp:inline distT="0" distB="0" distL="0" distR="0" wp14:anchorId="17EAF138" wp14:editId="44FEAACD">
            <wp:extent cx="5756910" cy="2594429"/>
            <wp:effectExtent l="0" t="0" r="0" b="0"/>
            <wp:docPr id="49" name="Diagra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4B7FBA" w14:textId="77777777" w:rsidR="00A921A8" w:rsidRPr="00525E69" w:rsidRDefault="00A921A8" w:rsidP="00A921A8">
      <w:pPr>
        <w:spacing w:line="240" w:lineRule="auto"/>
        <w:rPr>
          <w:sz w:val="16"/>
          <w:szCs w:val="16"/>
        </w:rPr>
      </w:pPr>
      <w:r w:rsidRPr="00525E69">
        <w:rPr>
          <w:sz w:val="16"/>
          <w:szCs w:val="16"/>
        </w:rPr>
        <w:t>Kilde: NyAnalyse, basert på tallgrunnlag fra Finansdepartementet</w:t>
      </w:r>
    </w:p>
    <w:p w14:paraId="38E10715" w14:textId="1BBD1700" w:rsidR="003B25A7" w:rsidRDefault="003B25A7" w:rsidP="00CF2BAF">
      <w:pPr>
        <w:spacing w:after="160"/>
        <w:jc w:val="both"/>
      </w:pPr>
      <w:bookmarkStart w:id="7" w:name="_Hlk50622081"/>
      <w:r>
        <w:lastRenderedPageBreak/>
        <w:t xml:space="preserve">Et gjentagende argument som fremmes av de som er positive til formuesskatten er at den er nødvendig for at de rikeste </w:t>
      </w:r>
      <w:r w:rsidR="004F215C">
        <w:t xml:space="preserve">personlig </w:t>
      </w:r>
      <w:r>
        <w:t xml:space="preserve">skal betale en «rimelig» skatt. </w:t>
      </w:r>
      <w:r w:rsidR="004F215C">
        <w:t>Dette argumentet er på ingen måte relevant for</w:t>
      </w:r>
      <w:r w:rsidR="002E2506">
        <w:t xml:space="preserve"> de 425 000 personene som betaler formuesskatt på næringsinvesteringer som har likningsverdi under 20 mill. kroner, også omtalt som «Småbedriftseiere, mv» i denne analysen.</w:t>
      </w:r>
    </w:p>
    <w:p w14:paraId="4028099B" w14:textId="02345293" w:rsidR="002E2506" w:rsidRDefault="002E2506" w:rsidP="00CF2BAF">
      <w:pPr>
        <w:spacing w:after="160"/>
        <w:jc w:val="both"/>
      </w:pPr>
      <w:r>
        <w:t>Det samlede skattebidraget fra gruppen «Småbedriftseiere, mv» estimeres å utgjøre om lag 90 mrd. kroner. Av dette er formuesskatt på arbeidende kapital kun estimert å utgjør</w:t>
      </w:r>
      <w:r w:rsidR="000E2A6D">
        <w:t>e</w:t>
      </w:r>
      <w:r>
        <w:t xml:space="preserve"> 3 mrd. kroner. I tillegg betaler disse 4,4 mrd. kroner i formuesskatt på arbeidende kapital</w:t>
      </w:r>
    </w:p>
    <w:p w14:paraId="6529106E" w14:textId="7D099589" w:rsidR="003B25A7" w:rsidRDefault="003B25A7" w:rsidP="00CF2BAF">
      <w:pPr>
        <w:spacing w:after="160"/>
        <w:jc w:val="both"/>
      </w:pPr>
      <w:r>
        <w:t xml:space="preserve">Innføring av utbytteskatt i 2006 </w:t>
      </w:r>
      <w:r w:rsidR="002E2506">
        <w:t>endret debattgrunnlaget om kapitalskattebidrag på personlig hånd ved næringsinvesteringer. «Småbedriftseiere, mv.» estimeres å betale 10 mrd. kroner i utbytteskatt i 2019. Dette er med andre ord over 3 ganger høyere enn hva de betaler i formuesskatt på arbeidende kapital</w:t>
      </w:r>
      <w:r w:rsidR="00CF2BAF">
        <w:t>.</w:t>
      </w:r>
    </w:p>
    <w:p w14:paraId="73BA9F9A" w14:textId="77777777" w:rsidR="00CF2BAF" w:rsidRDefault="00CF2BAF" w:rsidP="00CF2BAF">
      <w:pPr>
        <w:spacing w:after="160" w:line="259" w:lineRule="auto"/>
        <w:jc w:val="both"/>
      </w:pPr>
    </w:p>
    <w:p w14:paraId="73684411" w14:textId="0A45C298" w:rsidR="003B25A7" w:rsidRDefault="003B25A7" w:rsidP="003B25A7">
      <w:pPr>
        <w:pStyle w:val="Bildetekst"/>
      </w:pPr>
      <w:r>
        <w:t xml:space="preserve">Figur </w:t>
      </w:r>
      <w:r w:rsidR="009A6A52">
        <w:fldChar w:fldCharType="begin"/>
      </w:r>
      <w:r w:rsidR="009A6A52">
        <w:instrText xml:space="preserve"> SEQ Figur \*</w:instrText>
      </w:r>
      <w:r w:rsidR="009A6A52">
        <w:instrText xml:space="preserve"> ARABIC </w:instrText>
      </w:r>
      <w:r w:rsidR="009A6A52">
        <w:fldChar w:fldCharType="separate"/>
      </w:r>
      <w:r w:rsidR="000E2A6D">
        <w:rPr>
          <w:noProof/>
        </w:rPr>
        <w:t>9</w:t>
      </w:r>
      <w:r w:rsidR="009A6A52">
        <w:rPr>
          <w:noProof/>
        </w:rPr>
        <w:fldChar w:fldCharType="end"/>
      </w:r>
      <w:r>
        <w:t>: Estimert proveny betalt i formuesskatt på næringsrelatert, arbeidende kapital for gruppe</w:t>
      </w:r>
      <w:r w:rsidR="004F215C">
        <w:t>n</w:t>
      </w:r>
      <w:r>
        <w:t xml:space="preserve"> «Småbedriftseier, mv»</w:t>
      </w:r>
      <w:r w:rsidR="004F215C">
        <w:t>, skatteytere med netto li</w:t>
      </w:r>
      <w:r w:rsidR="002E2506">
        <w:t>kningsformue under 20 mill. kroner</w:t>
      </w:r>
      <w:r>
        <w:t xml:space="preserve">, Mrd. kroner. </w:t>
      </w:r>
      <w:r w:rsidR="004F215C">
        <w:t>2019</w:t>
      </w:r>
    </w:p>
    <w:p w14:paraId="1D09EF83" w14:textId="1AE033A4" w:rsidR="004F215C" w:rsidRDefault="004F215C" w:rsidP="003B25A7">
      <w:pPr>
        <w:jc w:val="both"/>
        <w:rPr>
          <w:sz w:val="16"/>
          <w:szCs w:val="16"/>
        </w:rPr>
      </w:pPr>
      <w:r>
        <w:rPr>
          <w:noProof/>
          <w:sz w:val="16"/>
          <w:szCs w:val="16"/>
        </w:rPr>
        <w:drawing>
          <wp:inline distT="0" distB="0" distL="0" distR="0" wp14:anchorId="2629D3C0" wp14:editId="4677A9E7">
            <wp:extent cx="4644390" cy="3165764"/>
            <wp:effectExtent l="0" t="0" r="3810" b="0"/>
            <wp:docPr id="41" name="Diagra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94AFD0" w14:textId="41D7BA92" w:rsidR="003B25A7" w:rsidRPr="00050EA4" w:rsidRDefault="003B25A7" w:rsidP="003B25A7">
      <w:pPr>
        <w:jc w:val="both"/>
        <w:rPr>
          <w:rStyle w:val="fontstyle01"/>
          <w:b w:val="0"/>
          <w:bCs w:val="0"/>
        </w:rPr>
      </w:pPr>
      <w:r w:rsidRPr="00525E69">
        <w:rPr>
          <w:sz w:val="16"/>
          <w:szCs w:val="16"/>
        </w:rPr>
        <w:t>Kilde: NyAnalyse, basert på tallgrunnlag fra Finansdepartementet</w:t>
      </w:r>
      <w:r w:rsidR="002E2506">
        <w:rPr>
          <w:sz w:val="16"/>
          <w:szCs w:val="16"/>
        </w:rPr>
        <w:t>. Det er ved beregningene forutsatt at det personer med formuesskatt på hhv. kun personlige aktiva og også på næringsaktiva har lik inntekts og skatteprofil.</w:t>
      </w:r>
    </w:p>
    <w:p w14:paraId="5404B8CB" w14:textId="77777777" w:rsidR="004F215C" w:rsidRDefault="004F215C">
      <w:pPr>
        <w:spacing w:after="160" w:line="259" w:lineRule="auto"/>
      </w:pPr>
    </w:p>
    <w:p w14:paraId="219495F1" w14:textId="77777777" w:rsidR="004F215C" w:rsidRDefault="004F215C">
      <w:pPr>
        <w:spacing w:after="160" w:line="259" w:lineRule="auto"/>
      </w:pPr>
    </w:p>
    <w:p w14:paraId="3CBCA043" w14:textId="54321D22" w:rsidR="00C34156" w:rsidRDefault="00C34156">
      <w:pPr>
        <w:spacing w:after="160" w:line="259" w:lineRule="auto"/>
        <w:rPr>
          <w:rFonts w:eastAsiaTheme="majorEastAsia" w:cstheme="majorBidi"/>
          <w:b/>
          <w:color w:val="1F4D78" w:themeColor="accent1" w:themeShade="7F"/>
          <w:sz w:val="24"/>
          <w:szCs w:val="24"/>
        </w:rPr>
      </w:pPr>
      <w:r>
        <w:br w:type="page"/>
      </w:r>
    </w:p>
    <w:p w14:paraId="7541FF03" w14:textId="3058E329" w:rsidR="00A921A8" w:rsidRPr="008746CA" w:rsidRDefault="00B30364" w:rsidP="0031265F">
      <w:pPr>
        <w:pStyle w:val="Overskrift3"/>
        <w:rPr>
          <w:color w:val="000000" w:themeColor="text1"/>
        </w:rPr>
      </w:pPr>
      <w:bookmarkStart w:id="8" w:name="_Toc52177862"/>
      <w:r w:rsidRPr="008746CA">
        <w:rPr>
          <w:color w:val="000000" w:themeColor="text1"/>
        </w:rPr>
        <w:lastRenderedPageBreak/>
        <w:t xml:space="preserve">Sysselsetting </w:t>
      </w:r>
      <w:r w:rsidR="0031265F" w:rsidRPr="008746CA">
        <w:rPr>
          <w:color w:val="000000" w:themeColor="text1"/>
        </w:rPr>
        <w:t>og formuesskatteposisjoner</w:t>
      </w:r>
      <w:bookmarkEnd w:id="8"/>
    </w:p>
    <w:p w14:paraId="5311F1B2" w14:textId="737F2896" w:rsidR="0031265F" w:rsidRDefault="0031265F" w:rsidP="00A921A8">
      <w:pPr>
        <w:spacing w:after="160"/>
        <w:jc w:val="both"/>
        <w:rPr>
          <w:color w:val="000000"/>
          <w:szCs w:val="21"/>
        </w:rPr>
      </w:pPr>
      <w:r>
        <w:rPr>
          <w:color w:val="000000"/>
          <w:szCs w:val="21"/>
        </w:rPr>
        <w:t>I en tid hvor arbeidsplasser er under press kan det være spesielt relevant å analysere jobbskapingsomfanget</w:t>
      </w:r>
      <w:r w:rsidR="009E58D2">
        <w:rPr>
          <w:color w:val="000000"/>
          <w:szCs w:val="21"/>
        </w:rPr>
        <w:t xml:space="preserve"> i privat sektor koblet til formuesskatteposisjonene til bedrifter som er privat eid.</w:t>
      </w:r>
    </w:p>
    <w:p w14:paraId="3B3726A3" w14:textId="77777777" w:rsidR="00EF1AEA" w:rsidRDefault="00EF1AEA" w:rsidP="00EF1AEA">
      <w:pPr>
        <w:spacing w:after="160"/>
        <w:jc w:val="both"/>
        <w:rPr>
          <w:color w:val="000000"/>
          <w:szCs w:val="21"/>
        </w:rPr>
      </w:pPr>
      <w:bookmarkStart w:id="9" w:name="_Hlk52177211"/>
      <w:r w:rsidRPr="009E58D2">
        <w:rPr>
          <w:color w:val="000000" w:themeColor="text1"/>
          <w:szCs w:val="21"/>
        </w:rPr>
        <w:t xml:space="preserve">Databasen til BI </w:t>
      </w:r>
      <w:r>
        <w:rPr>
          <w:color w:val="000000" w:themeColor="text1"/>
          <w:szCs w:val="21"/>
        </w:rPr>
        <w:t xml:space="preserve">ved professor Amir Sasson </w:t>
      </w:r>
      <w:r w:rsidRPr="009E58D2">
        <w:rPr>
          <w:color w:val="000000" w:themeColor="text1"/>
          <w:szCs w:val="21"/>
        </w:rPr>
        <w:t xml:space="preserve">gjør det mulig å koble bedriftseierskap med skatteposisjonen til personlige skatteytere i Norge, </w:t>
      </w:r>
      <w:r>
        <w:rPr>
          <w:color w:val="000000" w:themeColor="text1"/>
          <w:szCs w:val="21"/>
        </w:rPr>
        <w:t>herunder</w:t>
      </w:r>
      <w:r w:rsidRPr="009E58D2">
        <w:rPr>
          <w:color w:val="000000" w:themeColor="text1"/>
          <w:szCs w:val="21"/>
        </w:rPr>
        <w:t xml:space="preserve"> mot skatteyternes formuesskatteposisjon. Figur 1</w:t>
      </w:r>
      <w:r>
        <w:rPr>
          <w:color w:val="000000" w:themeColor="text1"/>
          <w:szCs w:val="21"/>
        </w:rPr>
        <w:t>0</w:t>
      </w:r>
      <w:r w:rsidRPr="009E58D2">
        <w:rPr>
          <w:color w:val="000000" w:themeColor="text1"/>
          <w:szCs w:val="21"/>
        </w:rPr>
        <w:t xml:space="preserve"> viser den samlede identifiserte sysselsettingen som norske personlige skatteytere står bak gjennom sine eierskap i bedrifter, justert for eierandelen de har. Det er ikke uvanlig </w:t>
      </w:r>
      <w:r>
        <w:rPr>
          <w:color w:val="000000" w:themeColor="text1"/>
          <w:szCs w:val="21"/>
        </w:rPr>
        <w:t xml:space="preserve">med eierkjeder hvor </w:t>
      </w:r>
      <w:r w:rsidRPr="009E58D2">
        <w:rPr>
          <w:color w:val="000000" w:themeColor="text1"/>
          <w:szCs w:val="21"/>
        </w:rPr>
        <w:t>aksjeselskaper eier aksjeselskaper</w:t>
      </w:r>
      <w:r>
        <w:rPr>
          <w:color w:val="000000" w:themeColor="text1"/>
          <w:szCs w:val="21"/>
        </w:rPr>
        <w:t>. E</w:t>
      </w:r>
      <w:r w:rsidRPr="009E58D2">
        <w:rPr>
          <w:color w:val="000000" w:themeColor="text1"/>
          <w:szCs w:val="21"/>
        </w:rPr>
        <w:t xml:space="preserve">ndelig personlig eierskap er analysert i opptil fem ledd. </w:t>
      </w:r>
      <w:r>
        <w:rPr>
          <w:color w:val="000000" w:themeColor="text1"/>
          <w:szCs w:val="21"/>
        </w:rPr>
        <w:t>Analysen</w:t>
      </w:r>
      <w:r w:rsidRPr="009E58D2">
        <w:rPr>
          <w:color w:val="000000" w:themeColor="text1"/>
          <w:szCs w:val="21"/>
        </w:rPr>
        <w:t xml:space="preserve"> viser derfor kun identifiserte forhold. Reell sysselsetting i bedrifter eid av norske personlige skatteytere er noe høyere</w:t>
      </w:r>
      <w:r>
        <w:rPr>
          <w:color w:val="000000" w:themeColor="text1"/>
          <w:szCs w:val="21"/>
        </w:rPr>
        <w:t xml:space="preserve"> enn hva som her er identifisert</w:t>
      </w:r>
      <w:r w:rsidRPr="009E58D2">
        <w:rPr>
          <w:color w:val="000000" w:themeColor="text1"/>
          <w:szCs w:val="21"/>
        </w:rPr>
        <w:t xml:space="preserve">. I 2005 er det identifisert at personlige skatteytere har bedriftseierskap hvor det, etter at det </w:t>
      </w:r>
      <w:r w:rsidRPr="00321ED5">
        <w:rPr>
          <w:color w:val="000000"/>
          <w:szCs w:val="21"/>
        </w:rPr>
        <w:t>er</w:t>
      </w:r>
      <w:r>
        <w:rPr>
          <w:color w:val="000000"/>
          <w:szCs w:val="21"/>
        </w:rPr>
        <w:t xml:space="preserve"> </w:t>
      </w:r>
      <w:r w:rsidRPr="00321ED5">
        <w:rPr>
          <w:color w:val="000000"/>
          <w:szCs w:val="21"/>
        </w:rPr>
        <w:t xml:space="preserve">justert for den enkelte skatteyters eierandel, sysselsettes til sammen 644 </w:t>
      </w:r>
      <w:r>
        <w:rPr>
          <w:color w:val="000000"/>
          <w:szCs w:val="21"/>
        </w:rPr>
        <w:t>000</w:t>
      </w:r>
      <w:r w:rsidRPr="00321ED5">
        <w:rPr>
          <w:color w:val="000000"/>
          <w:szCs w:val="21"/>
        </w:rPr>
        <w:t xml:space="preserve"> årsverk</w:t>
      </w:r>
      <w:r>
        <w:rPr>
          <w:color w:val="000000"/>
          <w:szCs w:val="21"/>
        </w:rPr>
        <w:t>.</w:t>
      </w:r>
      <w:r w:rsidRPr="00321ED5">
        <w:rPr>
          <w:color w:val="000000"/>
          <w:szCs w:val="21"/>
        </w:rPr>
        <w:t xml:space="preserve"> Dette øker til</w:t>
      </w:r>
      <w:r>
        <w:rPr>
          <w:color w:val="000000"/>
          <w:szCs w:val="21"/>
        </w:rPr>
        <w:t xml:space="preserve"> 777</w:t>
      </w:r>
      <w:r w:rsidRPr="00321ED5">
        <w:rPr>
          <w:color w:val="000000"/>
          <w:szCs w:val="21"/>
        </w:rPr>
        <w:t xml:space="preserve"> </w:t>
      </w:r>
      <w:r>
        <w:rPr>
          <w:color w:val="000000"/>
          <w:szCs w:val="21"/>
        </w:rPr>
        <w:t>000</w:t>
      </w:r>
      <w:r w:rsidRPr="00321ED5">
        <w:rPr>
          <w:color w:val="000000"/>
          <w:szCs w:val="21"/>
        </w:rPr>
        <w:t xml:space="preserve"> årsverk i 201</w:t>
      </w:r>
      <w:r>
        <w:rPr>
          <w:color w:val="000000"/>
          <w:szCs w:val="21"/>
        </w:rPr>
        <w:t>5. Det har med andre ord vært en identifisert vekst i sysselsetting i bedrifter med private bedriftseier på 133 000 årsverk over denne tiårsperioden</w:t>
      </w:r>
      <w:r w:rsidRPr="00321ED5">
        <w:rPr>
          <w:color w:val="000000"/>
          <w:szCs w:val="21"/>
        </w:rPr>
        <w:t xml:space="preserve">. </w:t>
      </w:r>
    </w:p>
    <w:p w14:paraId="4DD2179A" w14:textId="77777777" w:rsidR="00EF1AEA" w:rsidRDefault="00EF1AEA" w:rsidP="00EF1AEA">
      <w:pPr>
        <w:spacing w:after="160"/>
        <w:jc w:val="both"/>
        <w:rPr>
          <w:color w:val="000000"/>
          <w:szCs w:val="21"/>
        </w:rPr>
      </w:pPr>
      <w:r w:rsidRPr="00321ED5">
        <w:rPr>
          <w:color w:val="000000"/>
          <w:szCs w:val="21"/>
        </w:rPr>
        <w:t>Justert for eierandeler i bedriftene har 5</w:t>
      </w:r>
      <w:r>
        <w:rPr>
          <w:color w:val="000000"/>
          <w:szCs w:val="21"/>
        </w:rPr>
        <w:t>8</w:t>
      </w:r>
      <w:r w:rsidRPr="00321ED5">
        <w:rPr>
          <w:color w:val="000000"/>
          <w:szCs w:val="21"/>
        </w:rPr>
        <w:t xml:space="preserve"> prosent av årsverkene i 201</w:t>
      </w:r>
      <w:r>
        <w:rPr>
          <w:color w:val="000000"/>
          <w:szCs w:val="21"/>
        </w:rPr>
        <w:t>5</w:t>
      </w:r>
      <w:r w:rsidRPr="00321ED5">
        <w:rPr>
          <w:color w:val="000000"/>
          <w:szCs w:val="21"/>
        </w:rPr>
        <w:t xml:space="preserve"> en</w:t>
      </w:r>
      <w:r>
        <w:rPr>
          <w:color w:val="000000"/>
          <w:szCs w:val="21"/>
        </w:rPr>
        <w:t xml:space="preserve"> bedrifts</w:t>
      </w:r>
      <w:r w:rsidRPr="00321ED5">
        <w:rPr>
          <w:color w:val="000000"/>
          <w:szCs w:val="21"/>
        </w:rPr>
        <w:t>eier som er i formuesskatteposisjon og betaler formuesskatt (4</w:t>
      </w:r>
      <w:r>
        <w:rPr>
          <w:color w:val="000000"/>
          <w:szCs w:val="21"/>
        </w:rPr>
        <w:t>50 000</w:t>
      </w:r>
      <w:r w:rsidRPr="00321ED5">
        <w:rPr>
          <w:color w:val="000000"/>
          <w:szCs w:val="21"/>
        </w:rPr>
        <w:t xml:space="preserve"> årsverk), mens 4</w:t>
      </w:r>
      <w:r>
        <w:rPr>
          <w:color w:val="000000"/>
          <w:szCs w:val="21"/>
        </w:rPr>
        <w:t>2</w:t>
      </w:r>
      <w:r w:rsidRPr="00321ED5">
        <w:rPr>
          <w:color w:val="000000"/>
          <w:szCs w:val="21"/>
        </w:rPr>
        <w:t xml:space="preserve"> prosent </w:t>
      </w:r>
      <w:r>
        <w:rPr>
          <w:color w:val="000000"/>
          <w:szCs w:val="21"/>
        </w:rPr>
        <w:t xml:space="preserve">er sysselsatt i bedrifter hvor den personlige </w:t>
      </w:r>
      <w:r w:rsidRPr="00321ED5">
        <w:rPr>
          <w:color w:val="000000"/>
          <w:szCs w:val="21"/>
        </w:rPr>
        <w:t>eiere ikke er i formuesskatteposisjon (3</w:t>
      </w:r>
      <w:r>
        <w:rPr>
          <w:color w:val="000000"/>
          <w:szCs w:val="21"/>
        </w:rPr>
        <w:t>28</w:t>
      </w:r>
      <w:r w:rsidRPr="00321ED5">
        <w:rPr>
          <w:color w:val="000000"/>
          <w:szCs w:val="21"/>
        </w:rPr>
        <w:t xml:space="preserve"> </w:t>
      </w:r>
      <w:r>
        <w:rPr>
          <w:color w:val="000000"/>
          <w:szCs w:val="21"/>
        </w:rPr>
        <w:t>000</w:t>
      </w:r>
      <w:r w:rsidRPr="00321ED5">
        <w:rPr>
          <w:color w:val="000000"/>
          <w:szCs w:val="21"/>
        </w:rPr>
        <w:t xml:space="preserve"> årsverk). De 5</w:t>
      </w:r>
      <w:r>
        <w:rPr>
          <w:color w:val="000000"/>
          <w:szCs w:val="21"/>
        </w:rPr>
        <w:t>8</w:t>
      </w:r>
      <w:r w:rsidRPr="00321ED5">
        <w:rPr>
          <w:color w:val="000000"/>
          <w:szCs w:val="21"/>
        </w:rPr>
        <w:t xml:space="preserve"> prosent</w:t>
      </w:r>
      <w:r>
        <w:rPr>
          <w:color w:val="000000"/>
          <w:szCs w:val="21"/>
        </w:rPr>
        <w:t>ene</w:t>
      </w:r>
      <w:r w:rsidRPr="00321ED5">
        <w:rPr>
          <w:color w:val="000000"/>
          <w:szCs w:val="21"/>
        </w:rPr>
        <w:t xml:space="preserve"> av årsverkene i</w:t>
      </w:r>
      <w:r>
        <w:rPr>
          <w:color w:val="000000"/>
          <w:szCs w:val="21"/>
        </w:rPr>
        <w:t xml:space="preserve"> </w:t>
      </w:r>
      <w:r w:rsidRPr="00321ED5">
        <w:rPr>
          <w:color w:val="000000"/>
          <w:szCs w:val="21"/>
        </w:rPr>
        <w:t>201</w:t>
      </w:r>
      <w:r>
        <w:rPr>
          <w:color w:val="000000"/>
          <w:szCs w:val="21"/>
        </w:rPr>
        <w:t>5</w:t>
      </w:r>
      <w:r w:rsidRPr="00321ED5">
        <w:rPr>
          <w:color w:val="000000"/>
          <w:szCs w:val="21"/>
        </w:rPr>
        <w:t xml:space="preserve"> med</w:t>
      </w:r>
      <w:r>
        <w:rPr>
          <w:color w:val="000000"/>
          <w:szCs w:val="21"/>
        </w:rPr>
        <w:t xml:space="preserve"> </w:t>
      </w:r>
      <w:r w:rsidRPr="00321ED5">
        <w:rPr>
          <w:color w:val="000000"/>
          <w:szCs w:val="21"/>
        </w:rPr>
        <w:t>personlige skatteytere som eiere, som også er i formuesskatteposisjon, fordeler seg med 2</w:t>
      </w:r>
      <w:r>
        <w:rPr>
          <w:color w:val="000000"/>
          <w:szCs w:val="21"/>
        </w:rPr>
        <w:t xml:space="preserve">3 </w:t>
      </w:r>
      <w:r w:rsidRPr="00321ED5">
        <w:rPr>
          <w:color w:val="000000"/>
          <w:szCs w:val="21"/>
        </w:rPr>
        <w:t>prosentpoeng med eiere med netto liknings-formue på mellom 1 og 10 millioner kroner (</w:t>
      </w:r>
      <w:r>
        <w:rPr>
          <w:color w:val="000000"/>
          <w:szCs w:val="21"/>
        </w:rPr>
        <w:t xml:space="preserve">181 000 </w:t>
      </w:r>
      <w:r w:rsidRPr="00321ED5">
        <w:rPr>
          <w:color w:val="000000"/>
          <w:szCs w:val="21"/>
        </w:rPr>
        <w:t>årsverk), 1</w:t>
      </w:r>
      <w:r>
        <w:rPr>
          <w:color w:val="000000"/>
          <w:szCs w:val="21"/>
        </w:rPr>
        <w:t>9</w:t>
      </w:r>
      <w:r w:rsidRPr="00321ED5">
        <w:rPr>
          <w:color w:val="000000"/>
          <w:szCs w:val="21"/>
        </w:rPr>
        <w:t xml:space="preserve"> prosentpoeng med eiere med netto likningsformue på mellom 10 og 50 mill. kroner</w:t>
      </w:r>
      <w:r>
        <w:rPr>
          <w:color w:val="000000"/>
          <w:szCs w:val="21"/>
        </w:rPr>
        <w:t xml:space="preserve"> </w:t>
      </w:r>
      <w:r w:rsidRPr="00321ED5">
        <w:rPr>
          <w:color w:val="000000"/>
          <w:szCs w:val="21"/>
        </w:rPr>
        <w:t>(14</w:t>
      </w:r>
      <w:r>
        <w:rPr>
          <w:color w:val="000000"/>
          <w:szCs w:val="21"/>
        </w:rPr>
        <w:t>4</w:t>
      </w:r>
      <w:r w:rsidRPr="00321ED5">
        <w:rPr>
          <w:color w:val="000000"/>
          <w:szCs w:val="21"/>
        </w:rPr>
        <w:t xml:space="preserve"> </w:t>
      </w:r>
      <w:r>
        <w:rPr>
          <w:color w:val="000000"/>
          <w:szCs w:val="21"/>
        </w:rPr>
        <w:t>000</w:t>
      </w:r>
      <w:r w:rsidRPr="00321ED5">
        <w:rPr>
          <w:color w:val="000000"/>
          <w:szCs w:val="21"/>
        </w:rPr>
        <w:t xml:space="preserve"> årsverk), </w:t>
      </w:r>
      <w:r>
        <w:rPr>
          <w:color w:val="000000"/>
          <w:szCs w:val="21"/>
        </w:rPr>
        <w:t>5</w:t>
      </w:r>
      <w:r w:rsidRPr="00321ED5">
        <w:rPr>
          <w:color w:val="000000"/>
          <w:szCs w:val="21"/>
        </w:rPr>
        <w:t xml:space="preserve"> prosentpoeng med eiere med netto likningsformue på mellom 50 og 100 mill.</w:t>
      </w:r>
      <w:r>
        <w:rPr>
          <w:color w:val="000000"/>
          <w:szCs w:val="21"/>
        </w:rPr>
        <w:t xml:space="preserve"> </w:t>
      </w:r>
      <w:r w:rsidRPr="00321ED5">
        <w:rPr>
          <w:color w:val="000000"/>
          <w:szCs w:val="21"/>
        </w:rPr>
        <w:t>kroner (</w:t>
      </w:r>
      <w:r>
        <w:rPr>
          <w:color w:val="000000"/>
          <w:szCs w:val="21"/>
        </w:rPr>
        <w:t>40</w:t>
      </w:r>
      <w:r w:rsidRPr="00321ED5">
        <w:rPr>
          <w:color w:val="000000"/>
          <w:szCs w:val="21"/>
        </w:rPr>
        <w:t xml:space="preserve"> </w:t>
      </w:r>
      <w:r>
        <w:rPr>
          <w:color w:val="000000"/>
          <w:szCs w:val="21"/>
        </w:rPr>
        <w:t>000</w:t>
      </w:r>
      <w:r w:rsidRPr="00321ED5">
        <w:rPr>
          <w:color w:val="000000"/>
          <w:szCs w:val="21"/>
        </w:rPr>
        <w:t xml:space="preserve"> årsverk) og </w:t>
      </w:r>
      <w:r>
        <w:rPr>
          <w:color w:val="000000"/>
          <w:szCs w:val="21"/>
        </w:rPr>
        <w:t>11</w:t>
      </w:r>
      <w:r w:rsidRPr="00321ED5">
        <w:rPr>
          <w:color w:val="000000"/>
          <w:szCs w:val="21"/>
        </w:rPr>
        <w:t xml:space="preserve"> prosentpoeng med eiere med netto likningsformue på over 100 mill.</w:t>
      </w:r>
      <w:r>
        <w:rPr>
          <w:color w:val="000000"/>
          <w:szCs w:val="21"/>
        </w:rPr>
        <w:t xml:space="preserve"> </w:t>
      </w:r>
      <w:r w:rsidRPr="00321ED5">
        <w:rPr>
          <w:color w:val="000000"/>
          <w:szCs w:val="21"/>
        </w:rPr>
        <w:t>kroner (</w:t>
      </w:r>
      <w:r>
        <w:rPr>
          <w:color w:val="000000"/>
          <w:szCs w:val="21"/>
        </w:rPr>
        <w:t>84</w:t>
      </w:r>
      <w:r w:rsidRPr="00321ED5">
        <w:rPr>
          <w:color w:val="000000"/>
          <w:szCs w:val="21"/>
        </w:rPr>
        <w:t xml:space="preserve"> </w:t>
      </w:r>
      <w:r>
        <w:rPr>
          <w:color w:val="000000"/>
          <w:szCs w:val="21"/>
        </w:rPr>
        <w:t>000</w:t>
      </w:r>
      <w:r w:rsidRPr="00321ED5">
        <w:rPr>
          <w:color w:val="000000"/>
          <w:szCs w:val="21"/>
        </w:rPr>
        <w:t xml:space="preserve"> årsverk). </w:t>
      </w:r>
    </w:p>
    <w:p w14:paraId="0FE0475D" w14:textId="77777777" w:rsidR="00EF1AEA" w:rsidRDefault="00EF1AEA" w:rsidP="00EF1AEA">
      <w:pPr>
        <w:spacing w:after="160"/>
        <w:jc w:val="both"/>
        <w:rPr>
          <w:color w:val="000000"/>
          <w:szCs w:val="21"/>
        </w:rPr>
      </w:pPr>
      <w:r w:rsidRPr="00321ED5">
        <w:rPr>
          <w:color w:val="000000"/>
          <w:szCs w:val="21"/>
        </w:rPr>
        <w:t xml:space="preserve">Hvis man definerer SMB-eiere til å ha netto likningsformue på opptil 50 mill. kroner, står med andre ord SMB-bedriftseiere med identifisert sysselsetting for om lag </w:t>
      </w:r>
      <w:r>
        <w:rPr>
          <w:color w:val="000000"/>
          <w:szCs w:val="21"/>
        </w:rPr>
        <w:t>325</w:t>
      </w:r>
      <w:r w:rsidRPr="00321ED5">
        <w:rPr>
          <w:color w:val="000000"/>
          <w:szCs w:val="21"/>
        </w:rPr>
        <w:t> 000 årsverk</w:t>
      </w:r>
      <w:r>
        <w:rPr>
          <w:color w:val="000000"/>
          <w:szCs w:val="21"/>
        </w:rPr>
        <w:t>.</w:t>
      </w:r>
      <w:r w:rsidRPr="00321ED5">
        <w:rPr>
          <w:color w:val="000000"/>
          <w:szCs w:val="21"/>
        </w:rPr>
        <w:t xml:space="preserve"> </w:t>
      </w:r>
      <w:r>
        <w:rPr>
          <w:color w:val="000000"/>
          <w:szCs w:val="21"/>
        </w:rPr>
        <w:t>Dette utgjør</w:t>
      </w:r>
      <w:r w:rsidRPr="00321ED5">
        <w:rPr>
          <w:color w:val="000000"/>
          <w:szCs w:val="21"/>
        </w:rPr>
        <w:t xml:space="preserve"> 72 prosent av all identifisert sysselsetting </w:t>
      </w:r>
      <w:r>
        <w:rPr>
          <w:color w:val="000000"/>
          <w:szCs w:val="21"/>
        </w:rPr>
        <w:t xml:space="preserve">i privateide bedrifter </w:t>
      </w:r>
      <w:r w:rsidRPr="00321ED5">
        <w:rPr>
          <w:color w:val="000000"/>
          <w:szCs w:val="21"/>
        </w:rPr>
        <w:t>av de som er i formuesskatteposisjon</w:t>
      </w:r>
      <w:r>
        <w:rPr>
          <w:color w:val="000000"/>
          <w:szCs w:val="21"/>
        </w:rPr>
        <w:t>. Inkluderer man alle identifiserte sysselsatte årsverk av personlig eide bedrifter uavhengig av formuesskatteposisjon, utgjør de ansatte i SMB-bedrifter hvor eier betaler formuesskatt 42 prosent, slik figur 11 viser.</w:t>
      </w:r>
    </w:p>
    <w:p w14:paraId="45AF22CD" w14:textId="096CBBAD" w:rsidR="00E31C3B" w:rsidRDefault="00E31C3B" w:rsidP="00A921A8">
      <w:pPr>
        <w:spacing w:after="160"/>
        <w:jc w:val="both"/>
        <w:rPr>
          <w:color w:val="000000"/>
          <w:szCs w:val="21"/>
        </w:rPr>
      </w:pPr>
    </w:p>
    <w:p w14:paraId="7732A33C" w14:textId="4AFC1467" w:rsidR="00A921A8" w:rsidRDefault="00A921A8" w:rsidP="00A921A8">
      <w:pPr>
        <w:spacing w:after="160"/>
        <w:jc w:val="both"/>
        <w:rPr>
          <w:rStyle w:val="fontstyle01"/>
        </w:rPr>
      </w:pPr>
    </w:p>
    <w:p w14:paraId="6CAD2782" w14:textId="0248B175" w:rsidR="00A921A8" w:rsidRDefault="00A921A8" w:rsidP="00A921A8">
      <w:pPr>
        <w:pStyle w:val="Bildetekst"/>
      </w:pPr>
      <w:r w:rsidRPr="00A24B85">
        <w:lastRenderedPageBreak/>
        <w:t xml:space="preserve">Figur </w:t>
      </w:r>
      <w:r w:rsidR="009A6A52">
        <w:fldChar w:fldCharType="begin"/>
      </w:r>
      <w:r w:rsidR="009A6A52">
        <w:instrText xml:space="preserve"> SEQ Figur \* ARABIC </w:instrText>
      </w:r>
      <w:r w:rsidR="009A6A52">
        <w:fldChar w:fldCharType="separate"/>
      </w:r>
      <w:r w:rsidR="000E2A6D">
        <w:rPr>
          <w:noProof/>
        </w:rPr>
        <w:t>10</w:t>
      </w:r>
      <w:r w:rsidR="009A6A52">
        <w:rPr>
          <w:noProof/>
        </w:rPr>
        <w:fldChar w:fldCharType="end"/>
      </w:r>
      <w:r w:rsidRPr="00A24B85">
        <w:t xml:space="preserve">: </w:t>
      </w:r>
      <w:r w:rsidRPr="00A24B85">
        <w:rPr>
          <w:rStyle w:val="fontstyle01"/>
          <w:rFonts w:ascii="Century Gothic" w:hAnsi="Century Gothic" w:cstheme="minorBidi"/>
          <w:b/>
          <w:bCs w:val="0"/>
          <w:color w:val="auto"/>
          <w:sz w:val="18"/>
          <w:szCs w:val="18"/>
        </w:rPr>
        <w:t>Sysselsatte årsverk med identifisert norsk personlig skatteyter som bedriftseier og</w:t>
      </w:r>
      <w:r w:rsidRPr="00A24B85">
        <w:br/>
      </w:r>
      <w:r w:rsidRPr="00A24B85">
        <w:rPr>
          <w:rStyle w:val="fontstyle01"/>
          <w:rFonts w:ascii="Century Gothic" w:hAnsi="Century Gothic" w:cstheme="minorBidi"/>
          <w:b/>
          <w:bCs w:val="0"/>
          <w:color w:val="auto"/>
          <w:sz w:val="18"/>
          <w:szCs w:val="18"/>
        </w:rPr>
        <w:t>fordeling etter eiernes formuesskatteposisjon. 201</w:t>
      </w:r>
      <w:r>
        <w:rPr>
          <w:rStyle w:val="fontstyle01"/>
          <w:rFonts w:ascii="Century Gothic" w:hAnsi="Century Gothic" w:cstheme="minorBidi"/>
          <w:b/>
          <w:bCs w:val="0"/>
          <w:color w:val="auto"/>
          <w:sz w:val="18"/>
          <w:szCs w:val="18"/>
        </w:rPr>
        <w:t>5</w:t>
      </w:r>
      <w:r w:rsidRPr="00A24B85">
        <w:t xml:space="preserve"> </w:t>
      </w:r>
    </w:p>
    <w:p w14:paraId="0B749581" w14:textId="116A0185" w:rsidR="00A921A8" w:rsidRDefault="00A921A8" w:rsidP="008241FB">
      <w:r>
        <w:rPr>
          <w:noProof/>
        </w:rPr>
        <w:drawing>
          <wp:inline distT="0" distB="0" distL="0" distR="0" wp14:anchorId="1D5EE111" wp14:editId="6395A670">
            <wp:extent cx="5486400" cy="3501571"/>
            <wp:effectExtent l="0" t="0" r="0" b="3810"/>
            <wp:docPr id="30"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Style w:val="Svakreferanse"/>
        </w:rPr>
        <w:br/>
      </w:r>
      <w:r w:rsidRPr="00EA613E">
        <w:rPr>
          <w:rStyle w:val="Svakreferanse"/>
        </w:rPr>
        <w:t>Kilde: BI v/ prof. Amir Sasson | NyAnalyse</w:t>
      </w:r>
      <w:r>
        <w:rPr>
          <w:rStyle w:val="Svakreferanse"/>
        </w:rPr>
        <w:br/>
      </w:r>
    </w:p>
    <w:bookmarkEnd w:id="7"/>
    <w:p w14:paraId="129829DE" w14:textId="2A7D0306" w:rsidR="00A921A8" w:rsidRDefault="00A921A8" w:rsidP="00A921A8">
      <w:pPr>
        <w:pStyle w:val="Bildetekst"/>
      </w:pPr>
      <w:r>
        <w:br/>
      </w:r>
      <w:r w:rsidRPr="00A24B85">
        <w:t xml:space="preserve">Figur </w:t>
      </w:r>
      <w:r w:rsidR="009A6A52">
        <w:fldChar w:fldCharType="begin"/>
      </w:r>
      <w:r w:rsidR="009A6A52">
        <w:instrText xml:space="preserve"> SEQ Figur \* ARABIC </w:instrText>
      </w:r>
      <w:r w:rsidR="009A6A52">
        <w:fldChar w:fldCharType="separate"/>
      </w:r>
      <w:r w:rsidR="00E31C3B">
        <w:rPr>
          <w:noProof/>
        </w:rPr>
        <w:t>11</w:t>
      </w:r>
      <w:r w:rsidR="009A6A52">
        <w:rPr>
          <w:noProof/>
        </w:rPr>
        <w:fldChar w:fldCharType="end"/>
      </w:r>
      <w:r w:rsidRPr="00A24B85">
        <w:t xml:space="preserve">: </w:t>
      </w:r>
      <w:r w:rsidRPr="006F1D42">
        <w:t>Fordeling av identifiserte sysselsatte årsverk i bedrifter eid av personlige skatteytere, fordelt etter netto likningsformue. 201</w:t>
      </w:r>
      <w:r w:rsidR="008241FB">
        <w:t>5</w:t>
      </w:r>
    </w:p>
    <w:p w14:paraId="728ADF5F" w14:textId="77777777" w:rsidR="00A921A8" w:rsidRDefault="00A921A8" w:rsidP="00A921A8">
      <w:pPr>
        <w:jc w:val="both"/>
        <w:rPr>
          <w:rStyle w:val="Svakreferanse"/>
        </w:rPr>
      </w:pPr>
      <w:r>
        <w:rPr>
          <w:noProof/>
        </w:rPr>
        <w:drawing>
          <wp:inline distT="0" distB="0" distL="0" distR="0" wp14:anchorId="30E6FED6" wp14:editId="6E2F383F">
            <wp:extent cx="5567680" cy="3543300"/>
            <wp:effectExtent l="0" t="0" r="0" b="0"/>
            <wp:docPr id="51" name="Diagram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br/>
      </w:r>
      <w:r w:rsidRPr="00EA613E">
        <w:rPr>
          <w:rStyle w:val="Svakreferanse"/>
        </w:rPr>
        <w:t>Kilde: BI v/ prof. Amir Sasson | NyAnalyse</w:t>
      </w:r>
    </w:p>
    <w:bookmarkEnd w:id="9"/>
    <w:p w14:paraId="7D1B2500" w14:textId="76A02A41" w:rsidR="00A921A8" w:rsidRPr="00360F0D" w:rsidRDefault="00E31C3B" w:rsidP="008746CA">
      <w:pPr>
        <w:jc w:val="both"/>
        <w:rPr>
          <w:rStyle w:val="fontstyle01"/>
          <w:b w:val="0"/>
          <w:bCs w:val="0"/>
        </w:rPr>
      </w:pPr>
      <w:r>
        <w:rPr>
          <w:rStyle w:val="fontstyle01"/>
          <w:b w:val="0"/>
          <w:bCs w:val="0"/>
        </w:rPr>
        <w:lastRenderedPageBreak/>
        <w:t xml:space="preserve">Analysen av sysselsetting på BI-data er gjennomført på identifiserte </w:t>
      </w:r>
      <w:r w:rsidR="008451A7">
        <w:rPr>
          <w:rStyle w:val="fontstyle01"/>
          <w:b w:val="0"/>
          <w:bCs w:val="0"/>
        </w:rPr>
        <w:t xml:space="preserve">sysselsatte årsverk i privateide </w:t>
      </w:r>
      <w:r w:rsidR="008451A7" w:rsidRPr="008451A7">
        <w:rPr>
          <w:rStyle w:val="fontstyle01"/>
          <w:b w:val="0"/>
          <w:bCs w:val="0"/>
          <w:color w:val="000000" w:themeColor="text1"/>
        </w:rPr>
        <w:t>bedrifter. Det kan være nyttig å relatere dette til den samlede sysselsettingen i Norge i 2015. I</w:t>
      </w:r>
      <w:r w:rsidR="00A921A8" w:rsidRPr="008451A7">
        <w:rPr>
          <w:rStyle w:val="fontstyle01"/>
          <w:b w:val="0"/>
          <w:bCs w:val="0"/>
          <w:color w:val="000000" w:themeColor="text1"/>
        </w:rPr>
        <w:t xml:space="preserve"> figur 1</w:t>
      </w:r>
      <w:r w:rsidR="000E2A6D">
        <w:rPr>
          <w:rStyle w:val="fontstyle01"/>
          <w:b w:val="0"/>
          <w:bCs w:val="0"/>
          <w:color w:val="000000" w:themeColor="text1"/>
        </w:rPr>
        <w:t>2</w:t>
      </w:r>
      <w:r w:rsidR="00A921A8" w:rsidRPr="008451A7">
        <w:rPr>
          <w:rStyle w:val="fontstyle01"/>
          <w:b w:val="0"/>
          <w:bCs w:val="0"/>
          <w:color w:val="000000" w:themeColor="text1"/>
        </w:rPr>
        <w:t xml:space="preserve"> er BI</w:t>
      </w:r>
      <w:r w:rsidR="000E2A6D">
        <w:rPr>
          <w:rStyle w:val="fontstyle01"/>
          <w:b w:val="0"/>
          <w:bCs w:val="0"/>
          <w:color w:val="000000" w:themeColor="text1"/>
        </w:rPr>
        <w:t>-</w:t>
      </w:r>
      <w:r w:rsidR="00A921A8" w:rsidRPr="008451A7">
        <w:rPr>
          <w:rStyle w:val="fontstyle01"/>
          <w:b w:val="0"/>
          <w:bCs w:val="0"/>
          <w:color w:val="000000" w:themeColor="text1"/>
        </w:rPr>
        <w:t>tallene forsøkt koblet til SSBs tall på samlet sysselsetting</w:t>
      </w:r>
      <w:r w:rsidR="008451A7">
        <w:rPr>
          <w:rStyle w:val="fontstyle01"/>
          <w:b w:val="0"/>
          <w:bCs w:val="0"/>
          <w:color w:val="000000" w:themeColor="text1"/>
        </w:rPr>
        <w:t>, hvor samlet sysselsetting i privat sektor er fratrukket de sysselsatte i bedrifter med identifisert privat eier, som enten er i formuesskatteposisjon eller ikke. Av 2 588 000 sysselsatte i 2015 var 1 774 000 i privat sektor mens 814 000 var i offentlig sektor. 450 000 av de sysselsatte i privat sektor arbeider i bedrifter med identifisert eier i formuesskatteposisjon, tilsvarende 25 prosent. Av disse er 325 000 sysselsatt i SMB-bedrifter med eier i formuesskatteposisjon, tilsvarende om lag 18 prosent av alle sysselsatte i privat sektor.</w:t>
      </w:r>
    </w:p>
    <w:p w14:paraId="5FCA69C3" w14:textId="77777777" w:rsidR="008746CA" w:rsidRDefault="008746CA" w:rsidP="00A921A8">
      <w:pPr>
        <w:pStyle w:val="Bildetekst"/>
      </w:pPr>
    </w:p>
    <w:p w14:paraId="156774BA" w14:textId="4189FED7" w:rsidR="00A921A8" w:rsidRPr="00360F0D" w:rsidRDefault="00A921A8" w:rsidP="00A921A8">
      <w:pPr>
        <w:pStyle w:val="Bildetekst"/>
        <w:rPr>
          <w:rStyle w:val="fontstyle01"/>
        </w:rPr>
      </w:pPr>
      <w:r w:rsidRPr="00360F0D">
        <w:t xml:space="preserve">Figur </w:t>
      </w:r>
      <w:r w:rsidR="009A6A52">
        <w:fldChar w:fldCharType="begin"/>
      </w:r>
      <w:r w:rsidR="009A6A52">
        <w:instrText xml:space="preserve"> SEQ Figur \* ARABIC </w:instrText>
      </w:r>
      <w:r w:rsidR="009A6A52">
        <w:fldChar w:fldCharType="separate"/>
      </w:r>
      <w:r w:rsidR="000E2A6D">
        <w:rPr>
          <w:noProof/>
        </w:rPr>
        <w:t>12</w:t>
      </w:r>
      <w:r w:rsidR="009A6A52">
        <w:rPr>
          <w:noProof/>
        </w:rPr>
        <w:fldChar w:fldCharType="end"/>
      </w:r>
      <w:r w:rsidRPr="00360F0D">
        <w:t>: Fordeling av alle ansatte i 2015, etter privat og offentlig sektor, med fordeling av identifiserte private eieres formuesskatteposisjon</w:t>
      </w:r>
    </w:p>
    <w:p w14:paraId="3CF5C3A2" w14:textId="77777777" w:rsidR="00A921A8" w:rsidRDefault="00A921A8" w:rsidP="00A921A8">
      <w:pPr>
        <w:spacing w:line="240" w:lineRule="auto"/>
        <w:rPr>
          <w:rStyle w:val="fontstyle01"/>
        </w:rPr>
      </w:pPr>
    </w:p>
    <w:p w14:paraId="3B5F034E" w14:textId="77777777" w:rsidR="00A921A8" w:rsidRDefault="00A921A8" w:rsidP="00A921A8">
      <w:pPr>
        <w:spacing w:line="240" w:lineRule="auto"/>
        <w:rPr>
          <w:rStyle w:val="fontstyle01"/>
        </w:rPr>
      </w:pPr>
      <w:r>
        <w:rPr>
          <w:noProof/>
        </w:rPr>
        <w:drawing>
          <wp:inline distT="0" distB="0" distL="0" distR="0" wp14:anchorId="25A64A7B" wp14:editId="06E173E5">
            <wp:extent cx="6006465" cy="2431143"/>
            <wp:effectExtent l="0" t="0" r="0" b="7620"/>
            <wp:docPr id="52" name="Diagram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70E9EED" w14:textId="77777777" w:rsidR="00A921A8" w:rsidRDefault="00A921A8" w:rsidP="00A921A8">
      <w:pPr>
        <w:jc w:val="both"/>
        <w:rPr>
          <w:rStyle w:val="Svakreferanse"/>
        </w:rPr>
      </w:pPr>
      <w:r w:rsidRPr="00EA613E">
        <w:rPr>
          <w:rStyle w:val="Svakreferanse"/>
        </w:rPr>
        <w:t>Kilde: BI v/ prof. Amir Sasson | NyAnalyse</w:t>
      </w:r>
    </w:p>
    <w:p w14:paraId="1B432329" w14:textId="77777777" w:rsidR="008746CA" w:rsidRDefault="008746CA">
      <w:pPr>
        <w:spacing w:after="160" w:line="259" w:lineRule="auto"/>
        <w:rPr>
          <w:rFonts w:eastAsiaTheme="majorEastAsia" w:cstheme="majorBidi"/>
          <w:b/>
          <w:color w:val="2E74B5" w:themeColor="accent1" w:themeShade="BF"/>
          <w:sz w:val="32"/>
          <w:szCs w:val="32"/>
        </w:rPr>
      </w:pPr>
      <w:r>
        <w:br w:type="page"/>
      </w:r>
    </w:p>
    <w:p w14:paraId="6F5F2419" w14:textId="554427F6" w:rsidR="00C71C1A" w:rsidRDefault="008746CA" w:rsidP="00C71C1A">
      <w:pPr>
        <w:pStyle w:val="Overskrift1"/>
      </w:pPr>
      <w:bookmarkStart w:id="10" w:name="_Toc52177863"/>
      <w:r>
        <w:lastRenderedPageBreak/>
        <w:t>EGENKAPITAL OG SMG-SEGMENTET</w:t>
      </w:r>
      <w:bookmarkEnd w:id="10"/>
    </w:p>
    <w:p w14:paraId="2FF8C0C7" w14:textId="32BDE85A" w:rsidR="00C71C1A" w:rsidRDefault="00C71C1A" w:rsidP="00C71C1A">
      <w:pPr>
        <w:jc w:val="both"/>
      </w:pPr>
      <w:r w:rsidRPr="008746CA">
        <w:rPr>
          <w:color w:val="000000" w:themeColor="text1"/>
        </w:rPr>
        <w:t xml:space="preserve">Det store flertallet av </w:t>
      </w:r>
      <w:r>
        <w:t xml:space="preserve">bedrifter er små og mellomstore. Rammevilkårene disse opererer under er viktig for den samlede sysselsettingen i privat sektor. Formuesskattedebatten tar ofte utgangspunkt i de største bedriftene og deres eiere. SMB Norge melder om et bredt engasjement blant deres medlemmer om å få formuesskatten på arbeidende kapital avviklet. </w:t>
      </w:r>
    </w:p>
    <w:p w14:paraId="75086922" w14:textId="77777777" w:rsidR="00C71C1A" w:rsidRDefault="00C71C1A" w:rsidP="00C71C1A">
      <w:pPr>
        <w:jc w:val="both"/>
      </w:pPr>
    </w:p>
    <w:p w14:paraId="5EB62B32" w14:textId="77777777" w:rsidR="00C71C1A" w:rsidRDefault="00C71C1A" w:rsidP="00C71C1A">
      <w:pPr>
        <w:jc w:val="both"/>
      </w:pPr>
      <w:r>
        <w:t xml:space="preserve">Få emner har over lenger tid reist større engasjement enn formuesskatten i den norske offentligheten. Siden emnet ikke er nytt, skulle man derfor tro at kunnskapsgrunnlaget om dens omfang og virkninger på verdiskaping var godt. Det er ikke tilfellet. Formuesskatten har de senere tiår blitt avviklet i de aller fleste utviklede land. Det gjør at formuesskatt har vært et lite studert emne innen internasjonal akademia. Formuesskatt utelates ofte fra akademiske studier av ulike </w:t>
      </w:r>
      <w:proofErr w:type="spellStart"/>
      <w:r>
        <w:t>skattearters</w:t>
      </w:r>
      <w:proofErr w:type="spellEnd"/>
      <w:r>
        <w:t xml:space="preserve"> virkning, og i den grad den behandles blir den ofte primært analysert ut ifra hvilken virkning den har på husholdningenes sparing og forbruk. Over tid finansieres formuesskatt på arbeidende kapital normalt ved å trekke ut kapital fra bedriften som det pålegges formuesskatt på, noe som reelt gjør at formuesskatt på arbeidende kapital er en bedriftsrelatert skatt som virker gjennom eiernes privatøkonomi. Det gjør at formuesskatt på arbeidende kapital over tid har innvirkninger på bedriftsallokeringer av kapital mellom aktuelle investeringer og nivået på investeringer i bedriften.</w:t>
      </w:r>
    </w:p>
    <w:p w14:paraId="0DA40219" w14:textId="77777777" w:rsidR="00C71C1A" w:rsidRDefault="00C71C1A" w:rsidP="00C71C1A">
      <w:pPr>
        <w:jc w:val="both"/>
      </w:pPr>
    </w:p>
    <w:p w14:paraId="67F11FE5" w14:textId="77777777" w:rsidR="00C71C1A" w:rsidRDefault="00C71C1A" w:rsidP="00C71C1A">
      <w:pPr>
        <w:jc w:val="both"/>
      </w:pPr>
      <w:r>
        <w:t xml:space="preserve">Formuesskatt på arbeidende kapital virker på bedrifter gjennom to hovedkanaler – direkte på aktiviteten til bedriften som det pålegges formuesskatt på og indirekte gjennom kapitalmarkedet. </w:t>
      </w:r>
    </w:p>
    <w:p w14:paraId="2861717B" w14:textId="77777777" w:rsidR="00C71C1A" w:rsidRDefault="00C71C1A" w:rsidP="00C71C1A">
      <w:pPr>
        <w:jc w:val="both"/>
      </w:pPr>
    </w:p>
    <w:p w14:paraId="3D4B34A1" w14:textId="77777777" w:rsidR="00C71C1A" w:rsidRDefault="00C71C1A" w:rsidP="00C71C1A">
      <w:pPr>
        <w:jc w:val="both"/>
      </w:pPr>
      <w:r w:rsidRPr="00321ED5">
        <w:rPr>
          <w:b/>
          <w:bCs/>
        </w:rPr>
        <w:t>1: Den direkte virkningen på den enkelte private bedrift med eier i formuesskatteposisjon.</w:t>
      </w:r>
      <w:r>
        <w:t xml:space="preserve"> </w:t>
      </w:r>
    </w:p>
    <w:p w14:paraId="092EE021" w14:textId="77777777" w:rsidR="00C71C1A" w:rsidRDefault="00C71C1A" w:rsidP="00C71C1A">
      <w:pPr>
        <w:jc w:val="both"/>
      </w:pPr>
      <w:r>
        <w:t>F</w:t>
      </w:r>
      <w:r w:rsidRPr="00A3232E">
        <w:t>ormuesskatten</w:t>
      </w:r>
      <w:r>
        <w:t xml:space="preserve"> har en rekke negative virkninger på verdiskaping og bedrifters aktivitet. Det at kapitalbeholdning skattlegges uavhengig av oppnådd resultat gir seg utslag i effekter som redusert kapitalnivå grunnet at eier(e) må ta ut kapital gjennom utbytte eller lønn, svekking av risikotaking i bedrifter som virker vridende på hvilke produkter og tjenester bedriften velger å investere i og utvikle, samt konkurransesituasjonen til bedriften relatert til konkurrenter i både det norske markedet og internasjonalt som ikke belastes med formuesskatt. </w:t>
      </w:r>
    </w:p>
    <w:p w14:paraId="66590B15" w14:textId="77777777" w:rsidR="00C71C1A" w:rsidRDefault="00C71C1A" w:rsidP="00C71C1A">
      <w:pPr>
        <w:jc w:val="both"/>
      </w:pPr>
    </w:p>
    <w:p w14:paraId="010B0E35" w14:textId="77777777" w:rsidR="00C71C1A" w:rsidRDefault="00C71C1A" w:rsidP="00C71C1A">
      <w:pPr>
        <w:jc w:val="both"/>
      </w:pPr>
      <w:r>
        <w:t xml:space="preserve">Det som eksisterer av forskning på virkninger av formuesskatt på arbeidende kapital har i hovedsak tatt for seg formuesskattens direkte virkninger på berørte eiere og deres </w:t>
      </w:r>
      <w:r>
        <w:lastRenderedPageBreak/>
        <w:t>bedrifter. Dette er forhold som samfunnsøkonomer ofte ikke anser som problematiske for økonomien samlet sett, ettersom det ofte legges til grunn at formuesskattens svekkelse av forholdene til bedrifter som har eiere som må betale formuesskatt kompenseres ved at andre bedrifter «fyller tomrommet» og ekspanderer der formuesbeskattede bedrifter mister konkurranseposisjon eller ikke investerer. Dette kapittelet tilfører ny empiri som indikerer at denne forutsetningen trolig ikke stemmer for små og mellomstore bedrifter.</w:t>
      </w:r>
    </w:p>
    <w:p w14:paraId="202CB81C" w14:textId="77777777" w:rsidR="00C71C1A" w:rsidRDefault="00C71C1A" w:rsidP="00C71C1A">
      <w:pPr>
        <w:jc w:val="both"/>
      </w:pPr>
    </w:p>
    <w:p w14:paraId="6E9FCE21" w14:textId="77777777" w:rsidR="00C71C1A" w:rsidRPr="00321ED5" w:rsidRDefault="00C71C1A" w:rsidP="00C71C1A">
      <w:pPr>
        <w:jc w:val="both"/>
        <w:rPr>
          <w:b/>
          <w:bCs/>
        </w:rPr>
      </w:pPr>
      <w:r w:rsidRPr="00321ED5">
        <w:rPr>
          <w:b/>
          <w:bCs/>
        </w:rPr>
        <w:t>2: Den indirekte virkningen gjennom kapitalmarkedet.</w:t>
      </w:r>
    </w:p>
    <w:p w14:paraId="03B3CA08" w14:textId="77777777" w:rsidR="00C71C1A" w:rsidRDefault="00C71C1A" w:rsidP="00C71C1A">
      <w:pPr>
        <w:jc w:val="both"/>
      </w:pPr>
      <w:r>
        <w:t>Dette gir seg primært utslag i omfanget av ekstern risikokapital som er tilgjengelig for bedrifter gjennom kapitalmarkedet og påvirker nivået av privat risikokapital som er tilgjengelig til bedrifter. Større bedrifter har normalt tilgang til internasjonal kapital, både ved egenkapitalinnhenting og gjennom obligasjonsmarkedet, men dette er ofte ikke tilfellet for unge, små og mellomstore bedrifter. Disse må ofte primært eller utelukkende basere seg på det norske risikokapitalmarkedet, som påvirkes av særskatter på norsk privat kapital, slik som formuesskatten.</w:t>
      </w:r>
    </w:p>
    <w:p w14:paraId="235A3E58" w14:textId="77777777" w:rsidR="00C71C1A" w:rsidRDefault="00C71C1A" w:rsidP="00C71C1A">
      <w:pPr>
        <w:jc w:val="both"/>
      </w:pPr>
    </w:p>
    <w:p w14:paraId="58167A9A" w14:textId="77777777" w:rsidR="00C71C1A" w:rsidRDefault="00C71C1A" w:rsidP="00C71C1A">
      <w:pPr>
        <w:jc w:val="both"/>
      </w:pPr>
      <w:r>
        <w:t xml:space="preserve">Det svake kunnskapsgrunnlaget for virkningene av formuesskatt på verdiskaping og arbeidende kapital er reflektert i relevante offentlige utredninger de senere år. </w:t>
      </w:r>
    </w:p>
    <w:p w14:paraId="716A4E78" w14:textId="77777777" w:rsidR="00C71C1A" w:rsidRDefault="00C71C1A" w:rsidP="00C71C1A">
      <w:pPr>
        <w:jc w:val="both"/>
      </w:pPr>
    </w:p>
    <w:p w14:paraId="16513A59" w14:textId="77777777" w:rsidR="00C71C1A" w:rsidRDefault="00C71C1A" w:rsidP="00C71C1A">
      <w:pPr>
        <w:jc w:val="both"/>
      </w:pPr>
      <w:r>
        <w:t>Scheel-utvalget (NOU 2014:13 Kapitalbeskatningen i en internasjonal økonomi) utarbeidet det faglige grunnlaget for den siste skattereformen, som ble iverksatt fra 2016. Det ble brukt noen sider på å diskutere at en del norske bedrifter ikke hadde tilgang til det internasjonale kapitalmarkedet, men dette ble ikke tallfestet eller estimert. Når konklusjonene skulle trekkes, og anbefalingen om økt skatt på norsk risikokapital ble fremmet, valgte man å se bort fra dette forholdet, som ble vurdert til å ha mindre betydning.</w:t>
      </w:r>
    </w:p>
    <w:p w14:paraId="45381969" w14:textId="77777777" w:rsidR="00C71C1A" w:rsidRDefault="00C71C1A" w:rsidP="00C71C1A"/>
    <w:p w14:paraId="1433AA03" w14:textId="77777777" w:rsidR="00C71C1A" w:rsidRDefault="00C71C1A" w:rsidP="00C71C1A">
      <w:pPr>
        <w:jc w:val="both"/>
      </w:pPr>
      <w:r>
        <w:t>I 2017 ble Kapitaltilgangsutvalget nedsatt. Det skulle «</w:t>
      </w:r>
      <w:r w:rsidRPr="00573651">
        <w:t>vurdere om kapitalmarkedene i Norge effektivt kobler kapitalbesittere og kapitalsøkere</w:t>
      </w:r>
      <w:r>
        <w:t xml:space="preserve">», herunder gjennomgå </w:t>
      </w:r>
      <w:r w:rsidRPr="00573651">
        <w:t>de viktigste kapitalkildene</w:t>
      </w:r>
      <w:r>
        <w:t xml:space="preserve"> og bla. «vurdere om det er spesielle utfordringer i enkelte deler av landet, for ulike bransjer eller for små og mellomstore bedrifter.». Utvalget konkluderte med kapitalmarkedet overordnet fungerte godt, men fremmet flere forslag til forbedringer. De argumenterte bla. for at formuesskatten burde avvikles av </w:t>
      </w:r>
      <w:proofErr w:type="spellStart"/>
      <w:r>
        <w:t>kapitalallokeringsmessige</w:t>
      </w:r>
      <w:proofErr w:type="spellEnd"/>
      <w:r>
        <w:t xml:space="preserve"> grunner. Det ble dokumentert at norsk privat kapital stod for minst halvparten av alle egenkapitalemisjoner i 2015 og basert på samtaler med næringslivsaktører så konkluderte utvalget med at det var «krevende egenkapitaltilgang til bedrifter med behov i størrelsesorden opp til 20 mill. kroner.» Denne rapporten bringer ny empiri som understøtter </w:t>
      </w:r>
      <w:r>
        <w:lastRenderedPageBreak/>
        <w:t>Kapitaltilgangsutvalgets vurdering av at det er svakheter i egenkapitalmarkedet for små og mellomstore bedrifter, da disse primært er henvist til norsk privat risikokapital, hvor aktiviteten og innretningen dempes og vris av formuesskatten på arbeidende kapital.</w:t>
      </w:r>
    </w:p>
    <w:p w14:paraId="7AFFD3BF" w14:textId="77777777" w:rsidR="004578C8" w:rsidRDefault="004578C8" w:rsidP="004578C8">
      <w:pPr>
        <w:rPr>
          <w:rStyle w:val="Overskrift2Tegn"/>
          <w:b w:val="0"/>
          <w:bCs/>
        </w:rPr>
      </w:pPr>
    </w:p>
    <w:p w14:paraId="50FC9B08" w14:textId="77777777" w:rsidR="00EF1AEA" w:rsidRDefault="00EF1AEA" w:rsidP="00EC12A9">
      <w:pPr>
        <w:pStyle w:val="Overskrift3"/>
        <w:rPr>
          <w:color w:val="000000" w:themeColor="text1"/>
        </w:rPr>
      </w:pPr>
      <w:bookmarkStart w:id="11" w:name="_Toc52177864"/>
    </w:p>
    <w:p w14:paraId="2EBD728C" w14:textId="430C7BF7" w:rsidR="00E83AFA" w:rsidRDefault="00AA61FD" w:rsidP="00EC12A9">
      <w:pPr>
        <w:pStyle w:val="Overskrift3"/>
        <w:rPr>
          <w:rFonts w:eastAsia="Times New Roman"/>
          <w:lang w:eastAsia="nb-NO"/>
        </w:rPr>
      </w:pPr>
      <w:r w:rsidRPr="00C37216">
        <w:rPr>
          <w:color w:val="000000" w:themeColor="text1"/>
        </w:rPr>
        <w:t>Egenkapitalemisjoner fordelt etter bedriftsstørrelse og kapitalkilde</w:t>
      </w:r>
      <w:bookmarkEnd w:id="11"/>
      <w:r w:rsidRPr="00EC12A9">
        <w:rPr>
          <w:rFonts w:eastAsia="Times New Roman"/>
          <w:lang w:eastAsia="nb-NO"/>
        </w:rPr>
        <w:br/>
      </w:r>
    </w:p>
    <w:p w14:paraId="75D6C988" w14:textId="7E09442D" w:rsidR="00E83AFA" w:rsidRDefault="00E83AFA" w:rsidP="00E83AFA">
      <w:pPr>
        <w:rPr>
          <w:lang w:eastAsia="nb-NO"/>
        </w:rPr>
      </w:pPr>
      <w:r>
        <w:rPr>
          <w:lang w:eastAsia="nb-NO"/>
        </w:rPr>
        <w:t>Dette kapittelet bringer ny empiri og viser at kilden for emisjonskapital for hoveddelen av egenkapital for bredden av bedriftene i Norge stammer fra norsk, privat kapital. Når det</w:t>
      </w:r>
      <w:r w:rsidR="00DB5CB7">
        <w:rPr>
          <w:lang w:eastAsia="nb-NO"/>
        </w:rPr>
        <w:t xml:space="preserve"> fra SMB-bedrifter generelt meldes om begrenset eller ingen tilgang til utenlandsk egenkapital, indikerer dette at egenkapitalmarkedet for SMB-bedrifter er preget av markedssvikt. Dette har konsekvenser for etablering, vekst, omstilling og overlevelse for SMB-bedrifter, og derved den langsiktige vekststyrken til økonomien.</w:t>
      </w:r>
    </w:p>
    <w:p w14:paraId="62724325" w14:textId="7D3DF2B6" w:rsidR="00AA61FD" w:rsidRPr="00EF1AEA" w:rsidRDefault="00AA61FD" w:rsidP="00EF1AEA">
      <w:pPr>
        <w:rPr>
          <w:rStyle w:val="Overskrift3Tegn"/>
          <w:b w:val="0"/>
          <w:bCs/>
          <w:lang w:eastAsia="nb-NO"/>
        </w:rPr>
      </w:pPr>
      <w:r w:rsidRPr="002119DB">
        <w:rPr>
          <w:rFonts w:eastAsia="Times New Roman"/>
          <w:lang w:eastAsia="nb-NO"/>
        </w:rPr>
        <w:br/>
      </w:r>
      <w:bookmarkStart w:id="12" w:name="_Toc52177865"/>
      <w:r w:rsidR="00C37216" w:rsidRPr="00EF1AEA">
        <w:rPr>
          <w:b/>
          <w:bCs/>
          <w:sz w:val="24"/>
          <w:szCs w:val="24"/>
        </w:rPr>
        <w:t>Samlet oversikt</w:t>
      </w:r>
      <w:bookmarkEnd w:id="12"/>
    </w:p>
    <w:p w14:paraId="76BECE85" w14:textId="0C0485EF" w:rsidR="00AA61FD" w:rsidRDefault="004E2DF2" w:rsidP="00AA61FD">
      <w:pPr>
        <w:jc w:val="both"/>
        <w:rPr>
          <w:rFonts w:eastAsia="Times New Roman"/>
          <w:lang w:eastAsia="nb-NO"/>
        </w:rPr>
      </w:pPr>
      <w:r w:rsidRPr="00C37216">
        <w:rPr>
          <w:rFonts w:eastAsia="Times New Roman"/>
          <w:color w:val="000000" w:themeColor="text1"/>
          <w:lang w:eastAsia="nb-NO"/>
        </w:rPr>
        <w:t xml:space="preserve">Datagrunnlaget fra BI </w:t>
      </w:r>
      <w:r w:rsidR="00513257">
        <w:rPr>
          <w:rFonts w:eastAsia="Times New Roman"/>
          <w:lang w:eastAsia="nb-NO"/>
        </w:rPr>
        <w:t xml:space="preserve">ved professor Amir Sasson gir oversikt </w:t>
      </w:r>
      <w:r>
        <w:rPr>
          <w:rFonts w:eastAsia="Times New Roman"/>
          <w:lang w:eastAsia="nb-NO"/>
        </w:rPr>
        <w:t>over gjennomførte egenkapitalemisjoner</w:t>
      </w:r>
      <w:r w:rsidR="003E1548">
        <w:rPr>
          <w:rFonts w:eastAsia="Times New Roman"/>
          <w:lang w:eastAsia="nb-NO"/>
        </w:rPr>
        <w:t xml:space="preserve"> de fire siste årene før den siste skattereformen ble iverksatt i 2016, </w:t>
      </w:r>
      <w:r>
        <w:rPr>
          <w:rFonts w:eastAsia="Times New Roman"/>
          <w:lang w:eastAsia="nb-NO"/>
        </w:rPr>
        <w:t xml:space="preserve">fra 2012 til 2015. </w:t>
      </w:r>
      <w:r w:rsidR="00AA61FD" w:rsidRPr="00AA61FD">
        <w:rPr>
          <w:rFonts w:eastAsia="Times New Roman"/>
          <w:lang w:eastAsia="nb-NO"/>
        </w:rPr>
        <w:t xml:space="preserve">Før en går nærmere inn på fordelingen av gjennomførte emisjoner i de ulike bedriftsstørrelsene datagrunnlaget dekker, er det nyttig å se på hovedbildet i analyseperioden. Tabell 1 under viser </w:t>
      </w:r>
      <w:r>
        <w:rPr>
          <w:rFonts w:eastAsia="Times New Roman"/>
          <w:lang w:eastAsia="nb-NO"/>
        </w:rPr>
        <w:t xml:space="preserve">den </w:t>
      </w:r>
      <w:r w:rsidR="00AA61FD" w:rsidRPr="00AA61FD">
        <w:rPr>
          <w:rFonts w:eastAsia="Times New Roman"/>
          <w:lang w:eastAsia="nb-NO"/>
        </w:rPr>
        <w:t>total</w:t>
      </w:r>
      <w:r>
        <w:rPr>
          <w:rFonts w:eastAsia="Times New Roman"/>
          <w:lang w:eastAsia="nb-NO"/>
        </w:rPr>
        <w:t xml:space="preserve">e </w:t>
      </w:r>
      <w:r w:rsidR="00AA61FD" w:rsidRPr="00AA61FD">
        <w:rPr>
          <w:rFonts w:eastAsia="Times New Roman"/>
          <w:lang w:eastAsia="nb-NO"/>
        </w:rPr>
        <w:t xml:space="preserve">oversikten over emisjonskapital og </w:t>
      </w:r>
      <w:r>
        <w:rPr>
          <w:rFonts w:eastAsia="Times New Roman"/>
          <w:lang w:eastAsia="nb-NO"/>
        </w:rPr>
        <w:t xml:space="preserve">de </w:t>
      </w:r>
      <w:r w:rsidR="00AA61FD" w:rsidRPr="00AA61FD">
        <w:rPr>
          <w:rFonts w:eastAsia="Times New Roman"/>
          <w:lang w:eastAsia="nb-NO"/>
        </w:rPr>
        <w:t>emisjonsavtale</w:t>
      </w:r>
      <w:r>
        <w:rPr>
          <w:rFonts w:eastAsia="Times New Roman"/>
          <w:lang w:eastAsia="nb-NO"/>
        </w:rPr>
        <w:t>ne</w:t>
      </w:r>
      <w:r w:rsidR="00AA61FD" w:rsidRPr="00AA61FD">
        <w:rPr>
          <w:rFonts w:eastAsia="Times New Roman"/>
          <w:lang w:eastAsia="nb-NO"/>
        </w:rPr>
        <w:t xml:space="preserve"> som ble gjennomført i alle norske bedrifter i perioden 2012</w:t>
      </w:r>
      <w:r>
        <w:rPr>
          <w:rFonts w:eastAsia="Times New Roman"/>
          <w:lang w:eastAsia="nb-NO"/>
        </w:rPr>
        <w:t>-</w:t>
      </w:r>
      <w:r w:rsidR="00AA61FD" w:rsidRPr="00AA61FD">
        <w:rPr>
          <w:rFonts w:eastAsia="Times New Roman"/>
          <w:lang w:eastAsia="nb-NO"/>
        </w:rPr>
        <w:t xml:space="preserve">2015, hvor både noterte og unoterte aksjeselskaper inngår. Som tabellen </w:t>
      </w:r>
      <w:r w:rsidR="00513257">
        <w:rPr>
          <w:rFonts w:eastAsia="Times New Roman"/>
          <w:lang w:eastAsia="nb-NO"/>
        </w:rPr>
        <w:t xml:space="preserve">viser, </w:t>
      </w:r>
      <w:r w:rsidR="00AA61FD" w:rsidRPr="00AA61FD">
        <w:rPr>
          <w:rFonts w:eastAsia="Times New Roman"/>
          <w:lang w:eastAsia="nb-NO"/>
        </w:rPr>
        <w:t xml:space="preserve">steg det totale emisjonsvolumet gradvis i </w:t>
      </w:r>
      <w:r>
        <w:rPr>
          <w:rFonts w:eastAsia="Times New Roman"/>
          <w:lang w:eastAsia="nb-NO"/>
        </w:rPr>
        <w:t>løpet av denne fireårs</w:t>
      </w:r>
      <w:r w:rsidR="00AA61FD" w:rsidRPr="00AA61FD">
        <w:rPr>
          <w:rFonts w:eastAsia="Times New Roman"/>
          <w:lang w:eastAsia="nb-NO"/>
        </w:rPr>
        <w:t>perioden, fra 41,5</w:t>
      </w:r>
      <w:r w:rsidR="002363B3">
        <w:rPr>
          <w:rFonts w:eastAsia="Times New Roman"/>
          <w:lang w:eastAsia="nb-NO"/>
        </w:rPr>
        <w:t xml:space="preserve"> mrd.</w:t>
      </w:r>
      <w:r w:rsidR="00AA61FD" w:rsidRPr="00AA61FD">
        <w:rPr>
          <w:rFonts w:eastAsia="Times New Roman"/>
          <w:lang w:eastAsia="nb-NO"/>
        </w:rPr>
        <w:t xml:space="preserve"> </w:t>
      </w:r>
      <w:r w:rsidR="002363B3">
        <w:rPr>
          <w:rFonts w:eastAsia="Times New Roman"/>
          <w:lang w:eastAsia="nb-NO"/>
        </w:rPr>
        <w:t xml:space="preserve">kroner i 2012 </w:t>
      </w:r>
      <w:r w:rsidR="00AA61FD" w:rsidRPr="00AA61FD">
        <w:rPr>
          <w:rFonts w:eastAsia="Times New Roman"/>
          <w:lang w:eastAsia="nb-NO"/>
        </w:rPr>
        <w:t>til 64,9 m</w:t>
      </w:r>
      <w:r w:rsidR="002363B3">
        <w:rPr>
          <w:rFonts w:eastAsia="Times New Roman"/>
          <w:lang w:eastAsia="nb-NO"/>
        </w:rPr>
        <w:t>rd.</w:t>
      </w:r>
      <w:r w:rsidR="00AA61FD" w:rsidRPr="00AA61FD">
        <w:rPr>
          <w:rFonts w:eastAsia="Times New Roman"/>
          <w:lang w:eastAsia="nb-NO"/>
        </w:rPr>
        <w:t xml:space="preserve"> kroner</w:t>
      </w:r>
      <w:r w:rsidR="002363B3">
        <w:rPr>
          <w:rFonts w:eastAsia="Times New Roman"/>
          <w:lang w:eastAsia="nb-NO"/>
        </w:rPr>
        <w:t xml:space="preserve"> i</w:t>
      </w:r>
      <w:r w:rsidR="00AA61FD" w:rsidRPr="00AA61FD">
        <w:rPr>
          <w:rFonts w:eastAsia="Times New Roman"/>
          <w:lang w:eastAsia="nb-NO"/>
        </w:rPr>
        <w:t xml:space="preserve"> 2015</w:t>
      </w:r>
      <w:r w:rsidR="002363B3">
        <w:rPr>
          <w:rFonts w:eastAsia="Times New Roman"/>
          <w:lang w:eastAsia="nb-NO"/>
        </w:rPr>
        <w:t xml:space="preserve">. Dette </w:t>
      </w:r>
      <w:r w:rsidR="00AA61FD" w:rsidRPr="00AA61FD">
        <w:rPr>
          <w:rFonts w:eastAsia="Times New Roman"/>
          <w:lang w:eastAsia="nb-NO"/>
        </w:rPr>
        <w:t>tilsvare</w:t>
      </w:r>
      <w:r w:rsidR="002363B3">
        <w:rPr>
          <w:rFonts w:eastAsia="Times New Roman"/>
          <w:lang w:eastAsia="nb-NO"/>
        </w:rPr>
        <w:t>r</w:t>
      </w:r>
      <w:r w:rsidR="00AA61FD" w:rsidRPr="00AA61FD">
        <w:rPr>
          <w:rFonts w:eastAsia="Times New Roman"/>
          <w:lang w:eastAsia="nb-NO"/>
        </w:rPr>
        <w:t xml:space="preserve"> en volumøkning på ca. 56 </w:t>
      </w:r>
      <w:r w:rsidR="00513257">
        <w:rPr>
          <w:rFonts w:eastAsia="Times New Roman"/>
          <w:lang w:eastAsia="nb-NO"/>
        </w:rPr>
        <w:t>prosent</w:t>
      </w:r>
      <w:r w:rsidR="00AA61FD" w:rsidRPr="00AA61FD">
        <w:rPr>
          <w:rFonts w:eastAsia="Times New Roman"/>
          <w:lang w:eastAsia="nb-NO"/>
        </w:rPr>
        <w:t>. Antallet gjennomførte emisjonsavtaler økte med over 1 100 avtaler fra 2012 til 2015</w:t>
      </w:r>
      <w:r w:rsidR="002363B3">
        <w:rPr>
          <w:rFonts w:eastAsia="Times New Roman"/>
          <w:lang w:eastAsia="nb-NO"/>
        </w:rPr>
        <w:t>, mens</w:t>
      </w:r>
      <w:r w:rsidR="00AA61FD" w:rsidRPr="00AA61FD">
        <w:rPr>
          <w:rFonts w:eastAsia="Times New Roman"/>
          <w:lang w:eastAsia="nb-NO"/>
        </w:rPr>
        <w:t xml:space="preserve"> </w:t>
      </w:r>
      <w:r w:rsidR="002363B3">
        <w:rPr>
          <w:rFonts w:eastAsia="Times New Roman"/>
          <w:lang w:eastAsia="nb-NO"/>
        </w:rPr>
        <w:t>d</w:t>
      </w:r>
      <w:r w:rsidR="00AA61FD" w:rsidRPr="00AA61FD">
        <w:rPr>
          <w:rFonts w:eastAsia="Times New Roman"/>
          <w:lang w:eastAsia="nb-NO"/>
        </w:rPr>
        <w:t>e</w:t>
      </w:r>
      <w:r w:rsidR="002363B3">
        <w:rPr>
          <w:rFonts w:eastAsia="Times New Roman"/>
          <w:lang w:eastAsia="nb-NO"/>
        </w:rPr>
        <w:t>t</w:t>
      </w:r>
      <w:r w:rsidR="00AA61FD" w:rsidRPr="00AA61FD">
        <w:rPr>
          <w:rFonts w:eastAsia="Times New Roman"/>
          <w:lang w:eastAsia="nb-NO"/>
        </w:rPr>
        <w:t xml:space="preserve"> gjennomsnittlige totale emisjons</w:t>
      </w:r>
      <w:r w:rsidR="002363B3">
        <w:rPr>
          <w:rFonts w:eastAsia="Times New Roman"/>
          <w:lang w:eastAsia="nb-NO"/>
        </w:rPr>
        <w:t>volumet</w:t>
      </w:r>
      <w:r w:rsidR="00AA61FD" w:rsidRPr="00AA61FD">
        <w:rPr>
          <w:rFonts w:eastAsia="Times New Roman"/>
          <w:lang w:eastAsia="nb-NO"/>
        </w:rPr>
        <w:t xml:space="preserve"> per avtale også</w:t>
      </w:r>
      <w:r w:rsidR="002363B3">
        <w:rPr>
          <w:rFonts w:eastAsia="Times New Roman"/>
          <w:lang w:eastAsia="nb-NO"/>
        </w:rPr>
        <w:t xml:space="preserve"> økte</w:t>
      </w:r>
      <w:r w:rsidR="00AA61FD" w:rsidRPr="00AA61FD">
        <w:rPr>
          <w:rFonts w:eastAsia="Times New Roman"/>
          <w:lang w:eastAsia="nb-NO"/>
        </w:rPr>
        <w:t xml:space="preserve"> fra 2012 til 2014, men gikk imidlertid noe ned fra 2014 til 2015.  </w:t>
      </w:r>
    </w:p>
    <w:p w14:paraId="136C0E68" w14:textId="2C5F408D" w:rsidR="00AA61FD" w:rsidRPr="00EA613E" w:rsidRDefault="00AA61FD" w:rsidP="00AA61FD">
      <w:pPr>
        <w:rPr>
          <w:rFonts w:eastAsia="Times New Roman"/>
          <w:lang w:eastAsia="nb-NO"/>
        </w:rPr>
      </w:pPr>
    </w:p>
    <w:p w14:paraId="71C7028F" w14:textId="77777777" w:rsidR="00EF1AEA" w:rsidRDefault="00EF1AEA">
      <w:pPr>
        <w:spacing w:after="160" w:line="259" w:lineRule="auto"/>
        <w:rPr>
          <w:b/>
          <w:iCs/>
          <w:sz w:val="18"/>
          <w:szCs w:val="18"/>
        </w:rPr>
      </w:pPr>
      <w:r>
        <w:br w:type="page"/>
      </w:r>
    </w:p>
    <w:p w14:paraId="33716B2C" w14:textId="26C1BEF2" w:rsidR="00AA61FD" w:rsidRDefault="00AA61FD" w:rsidP="00AA61FD">
      <w:pPr>
        <w:pStyle w:val="Bildetekst"/>
        <w:keepNext/>
      </w:pPr>
      <w:r>
        <w:lastRenderedPageBreak/>
        <w:t xml:space="preserve">Tabell </w:t>
      </w:r>
      <w:r w:rsidR="009A6A52">
        <w:fldChar w:fldCharType="begin"/>
      </w:r>
      <w:r w:rsidR="009A6A52">
        <w:instrText xml:space="preserve"> SEQ Tabell \* ARABIC </w:instrText>
      </w:r>
      <w:r w:rsidR="009A6A52">
        <w:fldChar w:fldCharType="separate"/>
      </w:r>
      <w:r w:rsidR="00EC12A9">
        <w:rPr>
          <w:noProof/>
        </w:rPr>
        <w:t>1</w:t>
      </w:r>
      <w:r w:rsidR="009A6A52">
        <w:rPr>
          <w:noProof/>
        </w:rPr>
        <w:fldChar w:fldCharType="end"/>
      </w:r>
      <w:r>
        <w:t>: Totalt emisjonskapital og emisjonsavtaler, summert i alle norske bedrifter, 2012-2015</w:t>
      </w:r>
    </w:p>
    <w:tbl>
      <w:tblPr>
        <w:tblStyle w:val="Rutenettabell5mrkuthevingsfarge1"/>
        <w:tblW w:w="4951" w:type="pct"/>
        <w:tblLook w:val="0420" w:firstRow="1" w:lastRow="0" w:firstColumn="0" w:lastColumn="0" w:noHBand="0" w:noVBand="1"/>
      </w:tblPr>
      <w:tblGrid>
        <w:gridCol w:w="1407"/>
        <w:gridCol w:w="2520"/>
        <w:gridCol w:w="2527"/>
        <w:gridCol w:w="2519"/>
      </w:tblGrid>
      <w:tr w:rsidR="00945B0D" w:rsidRPr="00547873" w14:paraId="37A52B3B" w14:textId="77777777" w:rsidTr="00321ED5">
        <w:trPr>
          <w:cnfStyle w:val="100000000000" w:firstRow="1" w:lastRow="0" w:firstColumn="0" w:lastColumn="0" w:oddVBand="0" w:evenVBand="0" w:oddHBand="0" w:evenHBand="0" w:firstRowFirstColumn="0" w:firstRowLastColumn="0" w:lastRowFirstColumn="0" w:lastRowLastColumn="0"/>
          <w:trHeight w:val="640"/>
        </w:trPr>
        <w:tc>
          <w:tcPr>
            <w:tcW w:w="0" w:type="pct"/>
            <w:vAlign w:val="center"/>
            <w:hideMark/>
          </w:tcPr>
          <w:p w14:paraId="21294416" w14:textId="77777777" w:rsidR="00AA61FD" w:rsidRPr="00C64DC4" w:rsidRDefault="00AA61FD" w:rsidP="00945B0D">
            <w:pPr>
              <w:jc w:val="center"/>
              <w:rPr>
                <w:rFonts w:eastAsia="Times New Roman"/>
                <w:lang w:eastAsia="nb-NO"/>
              </w:rPr>
            </w:pPr>
            <w:r w:rsidRPr="00C64DC4">
              <w:rPr>
                <w:rFonts w:eastAsia="Times New Roman"/>
                <w:lang w:eastAsia="nb-NO"/>
              </w:rPr>
              <w:t>År</w:t>
            </w:r>
          </w:p>
        </w:tc>
        <w:tc>
          <w:tcPr>
            <w:tcW w:w="0" w:type="pct"/>
            <w:vAlign w:val="center"/>
            <w:hideMark/>
          </w:tcPr>
          <w:p w14:paraId="4725D64F" w14:textId="77777777" w:rsidR="00AA61FD" w:rsidRPr="00C64DC4" w:rsidRDefault="00AA61FD" w:rsidP="00945B0D">
            <w:pPr>
              <w:jc w:val="center"/>
              <w:rPr>
                <w:rFonts w:eastAsia="Times New Roman"/>
                <w:lang w:eastAsia="nb-NO"/>
              </w:rPr>
            </w:pPr>
            <w:r w:rsidRPr="00C64DC4">
              <w:rPr>
                <w:rFonts w:eastAsia="Times New Roman"/>
                <w:lang w:eastAsia="nb-NO"/>
              </w:rPr>
              <w:t>Total</w:t>
            </w:r>
            <w:r>
              <w:rPr>
                <w:rFonts w:eastAsia="Times New Roman"/>
                <w:lang w:eastAsia="nb-NO"/>
              </w:rPr>
              <w:t>t</w:t>
            </w:r>
            <w:r w:rsidRPr="00C64DC4">
              <w:rPr>
                <w:rFonts w:eastAsia="Times New Roman"/>
                <w:lang w:eastAsia="nb-NO"/>
              </w:rPr>
              <w:t xml:space="preserve"> emisjonskapital</w:t>
            </w:r>
          </w:p>
        </w:tc>
        <w:tc>
          <w:tcPr>
            <w:tcW w:w="0" w:type="pct"/>
            <w:vAlign w:val="center"/>
            <w:hideMark/>
          </w:tcPr>
          <w:p w14:paraId="119B7822" w14:textId="77777777" w:rsidR="00AA61FD" w:rsidRPr="00C64DC4" w:rsidRDefault="00AA61FD" w:rsidP="00945B0D">
            <w:pPr>
              <w:jc w:val="center"/>
              <w:rPr>
                <w:rFonts w:eastAsia="Times New Roman"/>
                <w:lang w:eastAsia="nb-NO"/>
              </w:rPr>
            </w:pPr>
            <w:r w:rsidRPr="00C64DC4">
              <w:rPr>
                <w:rFonts w:eastAsia="Times New Roman"/>
                <w:lang w:eastAsia="nb-NO"/>
              </w:rPr>
              <w:t xml:space="preserve">Antall </w:t>
            </w:r>
            <w:r>
              <w:rPr>
                <w:rFonts w:eastAsia="Times New Roman"/>
                <w:lang w:eastAsia="nb-NO"/>
              </w:rPr>
              <w:t>emisjonsavtaler</w:t>
            </w:r>
          </w:p>
        </w:tc>
        <w:tc>
          <w:tcPr>
            <w:tcW w:w="0" w:type="pct"/>
            <w:vAlign w:val="center"/>
            <w:hideMark/>
          </w:tcPr>
          <w:p w14:paraId="145C6541" w14:textId="77777777" w:rsidR="00AA61FD" w:rsidRPr="00C64DC4" w:rsidRDefault="00AA61FD" w:rsidP="00945B0D">
            <w:pPr>
              <w:jc w:val="center"/>
              <w:rPr>
                <w:rFonts w:eastAsia="Times New Roman"/>
                <w:lang w:eastAsia="nb-NO"/>
              </w:rPr>
            </w:pPr>
            <w:r>
              <w:rPr>
                <w:rFonts w:eastAsia="Times New Roman"/>
                <w:lang w:eastAsia="nb-NO"/>
              </w:rPr>
              <w:t>Gjennomsnittlig emisjonsvolum</w:t>
            </w:r>
            <w:r w:rsidRPr="00C64DC4">
              <w:rPr>
                <w:rFonts w:eastAsia="Times New Roman"/>
                <w:lang w:eastAsia="nb-NO"/>
              </w:rPr>
              <w:t xml:space="preserve"> per </w:t>
            </w:r>
            <w:r>
              <w:rPr>
                <w:rFonts w:eastAsia="Times New Roman"/>
                <w:lang w:eastAsia="nb-NO"/>
              </w:rPr>
              <w:t>avtale</w:t>
            </w:r>
          </w:p>
        </w:tc>
      </w:tr>
      <w:tr w:rsidR="00945B0D" w:rsidRPr="00547873" w14:paraId="29A34AE3" w14:textId="77777777" w:rsidTr="00321ED5">
        <w:trPr>
          <w:cnfStyle w:val="000000100000" w:firstRow="0" w:lastRow="0" w:firstColumn="0" w:lastColumn="0" w:oddVBand="0" w:evenVBand="0" w:oddHBand="1" w:evenHBand="0" w:firstRowFirstColumn="0" w:firstRowLastColumn="0" w:lastRowFirstColumn="0" w:lastRowLastColumn="0"/>
          <w:trHeight w:val="640"/>
        </w:trPr>
        <w:tc>
          <w:tcPr>
            <w:tcW w:w="0" w:type="pct"/>
            <w:vAlign w:val="center"/>
            <w:hideMark/>
          </w:tcPr>
          <w:p w14:paraId="56784E40" w14:textId="77777777" w:rsidR="00AA61FD" w:rsidRPr="00547873" w:rsidRDefault="00AA61FD" w:rsidP="00945B0D">
            <w:pPr>
              <w:jc w:val="center"/>
              <w:rPr>
                <w:rFonts w:eastAsia="Times New Roman"/>
                <w:lang w:eastAsia="nb-NO"/>
              </w:rPr>
            </w:pPr>
            <w:r w:rsidRPr="00547873">
              <w:rPr>
                <w:rFonts w:eastAsia="Times New Roman"/>
                <w:b/>
                <w:bCs/>
                <w:lang w:eastAsia="nb-NO"/>
              </w:rPr>
              <w:t>2012</w:t>
            </w:r>
          </w:p>
        </w:tc>
        <w:tc>
          <w:tcPr>
            <w:tcW w:w="0" w:type="pct"/>
            <w:vAlign w:val="center"/>
            <w:hideMark/>
          </w:tcPr>
          <w:p w14:paraId="605EC297" w14:textId="23873656" w:rsidR="00AA61FD" w:rsidRPr="00547873" w:rsidRDefault="00AA61FD" w:rsidP="00945B0D">
            <w:pPr>
              <w:jc w:val="center"/>
              <w:rPr>
                <w:rFonts w:eastAsia="Times New Roman"/>
                <w:lang w:eastAsia="nb-NO"/>
              </w:rPr>
            </w:pPr>
            <w:r w:rsidRPr="00547873">
              <w:rPr>
                <w:rFonts w:eastAsia="Times New Roman"/>
                <w:lang w:eastAsia="nb-NO"/>
              </w:rPr>
              <w:t>41 480</w:t>
            </w:r>
            <w:r w:rsidR="00513257">
              <w:rPr>
                <w:rFonts w:eastAsia="Times New Roman"/>
                <w:lang w:eastAsia="nb-NO"/>
              </w:rPr>
              <w:t> 000 000</w:t>
            </w:r>
          </w:p>
        </w:tc>
        <w:tc>
          <w:tcPr>
            <w:tcW w:w="0" w:type="pct"/>
            <w:vAlign w:val="center"/>
            <w:hideMark/>
          </w:tcPr>
          <w:p w14:paraId="2E5C16CA" w14:textId="77777777" w:rsidR="00AA61FD" w:rsidRPr="00547873" w:rsidRDefault="00AA61FD" w:rsidP="00945B0D">
            <w:pPr>
              <w:jc w:val="center"/>
              <w:rPr>
                <w:rFonts w:eastAsia="Times New Roman"/>
                <w:lang w:eastAsia="nb-NO"/>
              </w:rPr>
            </w:pPr>
            <w:r w:rsidRPr="00547873">
              <w:rPr>
                <w:rFonts w:eastAsia="Times New Roman"/>
                <w:lang w:eastAsia="nb-NO"/>
              </w:rPr>
              <w:t>3 394</w:t>
            </w:r>
          </w:p>
        </w:tc>
        <w:tc>
          <w:tcPr>
            <w:tcW w:w="0" w:type="pct"/>
            <w:vAlign w:val="center"/>
            <w:hideMark/>
          </w:tcPr>
          <w:p w14:paraId="1DE3077F" w14:textId="6CED8378" w:rsidR="00AA61FD" w:rsidRPr="00547873" w:rsidRDefault="00AA61FD" w:rsidP="00945B0D">
            <w:pPr>
              <w:jc w:val="center"/>
              <w:rPr>
                <w:rFonts w:eastAsia="Times New Roman"/>
                <w:lang w:eastAsia="nb-NO"/>
              </w:rPr>
            </w:pPr>
            <w:r w:rsidRPr="00547873">
              <w:rPr>
                <w:rFonts w:eastAsia="Times New Roman"/>
                <w:lang w:eastAsia="nb-NO"/>
              </w:rPr>
              <w:t>12</w:t>
            </w:r>
            <w:r w:rsidR="00513257">
              <w:rPr>
                <w:rFonts w:eastAsia="Times New Roman"/>
                <w:lang w:eastAsia="nb-NO"/>
              </w:rPr>
              <w:t> </w:t>
            </w:r>
            <w:r w:rsidRPr="00547873">
              <w:rPr>
                <w:rFonts w:eastAsia="Times New Roman"/>
                <w:lang w:eastAsia="nb-NO"/>
              </w:rPr>
              <w:t>2</w:t>
            </w:r>
            <w:r w:rsidR="00513257">
              <w:rPr>
                <w:rFonts w:eastAsia="Times New Roman"/>
                <w:lang w:eastAsia="nb-NO"/>
              </w:rPr>
              <w:t>00 000</w:t>
            </w:r>
          </w:p>
        </w:tc>
      </w:tr>
      <w:tr w:rsidR="00945B0D" w:rsidRPr="00547873" w14:paraId="286759CE" w14:textId="77777777" w:rsidTr="00321ED5">
        <w:trPr>
          <w:trHeight w:val="640"/>
        </w:trPr>
        <w:tc>
          <w:tcPr>
            <w:tcW w:w="0" w:type="pct"/>
            <w:vAlign w:val="center"/>
            <w:hideMark/>
          </w:tcPr>
          <w:p w14:paraId="787C9F55" w14:textId="77777777" w:rsidR="00AA61FD" w:rsidRPr="00547873" w:rsidRDefault="00AA61FD" w:rsidP="00945B0D">
            <w:pPr>
              <w:jc w:val="center"/>
              <w:rPr>
                <w:rFonts w:eastAsia="Times New Roman"/>
                <w:lang w:eastAsia="nb-NO"/>
              </w:rPr>
            </w:pPr>
            <w:r w:rsidRPr="00547873">
              <w:rPr>
                <w:rFonts w:eastAsia="Times New Roman"/>
                <w:b/>
                <w:bCs/>
                <w:lang w:eastAsia="nb-NO"/>
              </w:rPr>
              <w:t>2013</w:t>
            </w:r>
          </w:p>
        </w:tc>
        <w:tc>
          <w:tcPr>
            <w:tcW w:w="0" w:type="pct"/>
            <w:vAlign w:val="center"/>
            <w:hideMark/>
          </w:tcPr>
          <w:p w14:paraId="5FF97AE9" w14:textId="040182C7" w:rsidR="00AA61FD" w:rsidRPr="00547873" w:rsidRDefault="00AA61FD" w:rsidP="00945B0D">
            <w:pPr>
              <w:jc w:val="center"/>
              <w:rPr>
                <w:rFonts w:eastAsia="Times New Roman"/>
                <w:lang w:eastAsia="nb-NO"/>
              </w:rPr>
            </w:pPr>
            <w:r w:rsidRPr="00547873">
              <w:rPr>
                <w:rFonts w:eastAsia="Times New Roman"/>
                <w:lang w:eastAsia="nb-NO"/>
              </w:rPr>
              <w:t>50 888</w:t>
            </w:r>
            <w:r w:rsidR="00513257">
              <w:rPr>
                <w:rFonts w:eastAsia="Times New Roman"/>
                <w:lang w:eastAsia="nb-NO"/>
              </w:rPr>
              <w:t> 000 000</w:t>
            </w:r>
          </w:p>
        </w:tc>
        <w:tc>
          <w:tcPr>
            <w:tcW w:w="0" w:type="pct"/>
            <w:vAlign w:val="center"/>
            <w:hideMark/>
          </w:tcPr>
          <w:p w14:paraId="00ED2061" w14:textId="77777777" w:rsidR="00AA61FD" w:rsidRPr="00547873" w:rsidRDefault="00AA61FD" w:rsidP="00945B0D">
            <w:pPr>
              <w:jc w:val="center"/>
              <w:rPr>
                <w:rFonts w:eastAsia="Times New Roman"/>
                <w:lang w:eastAsia="nb-NO"/>
              </w:rPr>
            </w:pPr>
            <w:r w:rsidRPr="00547873">
              <w:rPr>
                <w:rFonts w:eastAsia="Times New Roman"/>
                <w:lang w:eastAsia="nb-NO"/>
              </w:rPr>
              <w:t>3 841</w:t>
            </w:r>
          </w:p>
        </w:tc>
        <w:tc>
          <w:tcPr>
            <w:tcW w:w="0" w:type="pct"/>
            <w:vAlign w:val="center"/>
            <w:hideMark/>
          </w:tcPr>
          <w:p w14:paraId="23FFD3A6" w14:textId="12DA30A7" w:rsidR="00AA61FD" w:rsidRPr="00547873" w:rsidRDefault="00AA61FD" w:rsidP="00945B0D">
            <w:pPr>
              <w:jc w:val="center"/>
              <w:rPr>
                <w:rFonts w:eastAsia="Times New Roman"/>
                <w:lang w:eastAsia="nb-NO"/>
              </w:rPr>
            </w:pPr>
            <w:r w:rsidRPr="00547873">
              <w:rPr>
                <w:rFonts w:eastAsia="Times New Roman"/>
                <w:lang w:eastAsia="nb-NO"/>
              </w:rPr>
              <w:t>13</w:t>
            </w:r>
            <w:r w:rsidR="00513257">
              <w:rPr>
                <w:rFonts w:eastAsia="Times New Roman"/>
                <w:lang w:eastAsia="nb-NO"/>
              </w:rPr>
              <w:t> </w:t>
            </w:r>
            <w:r w:rsidRPr="00547873">
              <w:rPr>
                <w:rFonts w:eastAsia="Times New Roman"/>
                <w:lang w:eastAsia="nb-NO"/>
              </w:rPr>
              <w:t>2</w:t>
            </w:r>
            <w:r w:rsidR="00513257">
              <w:rPr>
                <w:rFonts w:eastAsia="Times New Roman"/>
                <w:lang w:eastAsia="nb-NO"/>
              </w:rPr>
              <w:t>50 000</w:t>
            </w:r>
          </w:p>
        </w:tc>
      </w:tr>
      <w:tr w:rsidR="00945B0D" w:rsidRPr="00547873" w14:paraId="5ED826A2" w14:textId="77777777" w:rsidTr="00321ED5">
        <w:trPr>
          <w:cnfStyle w:val="000000100000" w:firstRow="0" w:lastRow="0" w:firstColumn="0" w:lastColumn="0" w:oddVBand="0" w:evenVBand="0" w:oddHBand="1" w:evenHBand="0" w:firstRowFirstColumn="0" w:firstRowLastColumn="0" w:lastRowFirstColumn="0" w:lastRowLastColumn="0"/>
          <w:trHeight w:val="640"/>
        </w:trPr>
        <w:tc>
          <w:tcPr>
            <w:tcW w:w="0" w:type="pct"/>
            <w:vAlign w:val="center"/>
            <w:hideMark/>
          </w:tcPr>
          <w:p w14:paraId="1FECF24A" w14:textId="77777777" w:rsidR="00AA61FD" w:rsidRPr="00547873" w:rsidRDefault="00AA61FD" w:rsidP="00945B0D">
            <w:pPr>
              <w:jc w:val="center"/>
              <w:rPr>
                <w:rFonts w:eastAsia="Times New Roman"/>
                <w:lang w:eastAsia="nb-NO"/>
              </w:rPr>
            </w:pPr>
            <w:r w:rsidRPr="00547873">
              <w:rPr>
                <w:rFonts w:eastAsia="Times New Roman"/>
                <w:b/>
                <w:bCs/>
                <w:lang w:eastAsia="nb-NO"/>
              </w:rPr>
              <w:t>2014</w:t>
            </w:r>
          </w:p>
        </w:tc>
        <w:tc>
          <w:tcPr>
            <w:tcW w:w="0" w:type="pct"/>
            <w:vAlign w:val="center"/>
            <w:hideMark/>
          </w:tcPr>
          <w:p w14:paraId="6017D6C9" w14:textId="37A421B1" w:rsidR="00AA61FD" w:rsidRPr="00547873" w:rsidRDefault="00AA61FD" w:rsidP="00945B0D">
            <w:pPr>
              <w:jc w:val="center"/>
              <w:rPr>
                <w:rFonts w:eastAsia="Times New Roman"/>
                <w:lang w:eastAsia="nb-NO"/>
              </w:rPr>
            </w:pPr>
            <w:r w:rsidRPr="00547873">
              <w:rPr>
                <w:rFonts w:eastAsia="Times New Roman"/>
                <w:lang w:eastAsia="nb-NO"/>
              </w:rPr>
              <w:t>59 594</w:t>
            </w:r>
            <w:r w:rsidR="00513257">
              <w:rPr>
                <w:rFonts w:eastAsia="Times New Roman"/>
                <w:lang w:eastAsia="nb-NO"/>
              </w:rPr>
              <w:t> 000 000</w:t>
            </w:r>
          </w:p>
        </w:tc>
        <w:tc>
          <w:tcPr>
            <w:tcW w:w="0" w:type="pct"/>
            <w:vAlign w:val="center"/>
            <w:hideMark/>
          </w:tcPr>
          <w:p w14:paraId="0D97D3AC" w14:textId="77777777" w:rsidR="00AA61FD" w:rsidRPr="00547873" w:rsidRDefault="00AA61FD" w:rsidP="00945B0D">
            <w:pPr>
              <w:jc w:val="center"/>
              <w:rPr>
                <w:rFonts w:eastAsia="Times New Roman"/>
                <w:lang w:eastAsia="nb-NO"/>
              </w:rPr>
            </w:pPr>
            <w:r w:rsidRPr="00547873">
              <w:rPr>
                <w:rFonts w:eastAsia="Times New Roman"/>
                <w:lang w:eastAsia="nb-NO"/>
              </w:rPr>
              <w:t>4 108</w:t>
            </w:r>
          </w:p>
        </w:tc>
        <w:tc>
          <w:tcPr>
            <w:tcW w:w="0" w:type="pct"/>
            <w:vAlign w:val="center"/>
            <w:hideMark/>
          </w:tcPr>
          <w:p w14:paraId="14A025D5" w14:textId="6F7DA2FA" w:rsidR="00AA61FD" w:rsidRPr="00547873" w:rsidRDefault="00AA61FD" w:rsidP="00945B0D">
            <w:pPr>
              <w:jc w:val="center"/>
              <w:rPr>
                <w:rFonts w:eastAsia="Times New Roman"/>
                <w:lang w:eastAsia="nb-NO"/>
              </w:rPr>
            </w:pPr>
            <w:r w:rsidRPr="00547873">
              <w:rPr>
                <w:rFonts w:eastAsia="Times New Roman"/>
                <w:lang w:eastAsia="nb-NO"/>
              </w:rPr>
              <w:t>14</w:t>
            </w:r>
            <w:r w:rsidR="00513257">
              <w:rPr>
                <w:rFonts w:eastAsia="Times New Roman"/>
                <w:lang w:eastAsia="nb-NO"/>
              </w:rPr>
              <w:t> </w:t>
            </w:r>
            <w:r w:rsidRPr="00547873">
              <w:rPr>
                <w:rFonts w:eastAsia="Times New Roman"/>
                <w:lang w:eastAsia="nb-NO"/>
              </w:rPr>
              <w:t>50</w:t>
            </w:r>
            <w:r w:rsidR="00513257">
              <w:rPr>
                <w:rFonts w:eastAsia="Times New Roman"/>
                <w:lang w:eastAsia="nb-NO"/>
              </w:rPr>
              <w:t>0 000</w:t>
            </w:r>
          </w:p>
        </w:tc>
      </w:tr>
      <w:tr w:rsidR="00945B0D" w:rsidRPr="00547873" w14:paraId="3250EA4F" w14:textId="77777777" w:rsidTr="00321ED5">
        <w:trPr>
          <w:trHeight w:val="640"/>
        </w:trPr>
        <w:tc>
          <w:tcPr>
            <w:tcW w:w="0" w:type="pct"/>
            <w:vAlign w:val="center"/>
            <w:hideMark/>
          </w:tcPr>
          <w:p w14:paraId="254EEEEB" w14:textId="77777777" w:rsidR="00AA61FD" w:rsidRPr="00547873" w:rsidRDefault="00AA61FD" w:rsidP="00945B0D">
            <w:pPr>
              <w:jc w:val="center"/>
              <w:rPr>
                <w:rFonts w:eastAsia="Times New Roman"/>
                <w:lang w:eastAsia="nb-NO"/>
              </w:rPr>
            </w:pPr>
            <w:r w:rsidRPr="00547873">
              <w:rPr>
                <w:rFonts w:eastAsia="Times New Roman"/>
                <w:b/>
                <w:bCs/>
                <w:lang w:eastAsia="nb-NO"/>
              </w:rPr>
              <w:t>2015</w:t>
            </w:r>
          </w:p>
        </w:tc>
        <w:tc>
          <w:tcPr>
            <w:tcW w:w="0" w:type="pct"/>
            <w:vAlign w:val="center"/>
            <w:hideMark/>
          </w:tcPr>
          <w:p w14:paraId="60306D95" w14:textId="7F8D9D4A" w:rsidR="00AA61FD" w:rsidRPr="00547873" w:rsidRDefault="00AA61FD" w:rsidP="00945B0D">
            <w:pPr>
              <w:jc w:val="center"/>
              <w:rPr>
                <w:rFonts w:eastAsia="Times New Roman"/>
                <w:lang w:eastAsia="nb-NO"/>
              </w:rPr>
            </w:pPr>
            <w:r w:rsidRPr="00547873">
              <w:rPr>
                <w:rFonts w:eastAsia="Times New Roman"/>
                <w:lang w:eastAsia="nb-NO"/>
              </w:rPr>
              <w:t>64 903</w:t>
            </w:r>
            <w:r w:rsidR="00513257">
              <w:rPr>
                <w:rFonts w:eastAsia="Times New Roman"/>
                <w:lang w:eastAsia="nb-NO"/>
              </w:rPr>
              <w:t> 000 000</w:t>
            </w:r>
          </w:p>
        </w:tc>
        <w:tc>
          <w:tcPr>
            <w:tcW w:w="0" w:type="pct"/>
            <w:vAlign w:val="center"/>
            <w:hideMark/>
          </w:tcPr>
          <w:p w14:paraId="3CE8E085" w14:textId="77777777" w:rsidR="00AA61FD" w:rsidRPr="00547873" w:rsidRDefault="00AA61FD" w:rsidP="00945B0D">
            <w:pPr>
              <w:jc w:val="center"/>
              <w:rPr>
                <w:rFonts w:eastAsia="Times New Roman"/>
                <w:lang w:eastAsia="nb-NO"/>
              </w:rPr>
            </w:pPr>
            <w:r w:rsidRPr="00547873">
              <w:rPr>
                <w:rFonts w:eastAsia="Times New Roman"/>
                <w:lang w:eastAsia="nb-NO"/>
              </w:rPr>
              <w:t>4 522</w:t>
            </w:r>
          </w:p>
        </w:tc>
        <w:tc>
          <w:tcPr>
            <w:tcW w:w="0" w:type="pct"/>
            <w:vAlign w:val="center"/>
            <w:hideMark/>
          </w:tcPr>
          <w:p w14:paraId="4CFA1DAA" w14:textId="3147DB28" w:rsidR="00AA61FD" w:rsidRPr="00547873" w:rsidRDefault="00AA61FD" w:rsidP="00945B0D">
            <w:pPr>
              <w:jc w:val="center"/>
              <w:rPr>
                <w:rFonts w:eastAsia="Times New Roman"/>
                <w:lang w:eastAsia="nb-NO"/>
              </w:rPr>
            </w:pPr>
            <w:r w:rsidRPr="00547873">
              <w:rPr>
                <w:rFonts w:eastAsia="Times New Roman"/>
                <w:lang w:eastAsia="nb-NO"/>
              </w:rPr>
              <w:t>14</w:t>
            </w:r>
            <w:r w:rsidR="00513257">
              <w:rPr>
                <w:rFonts w:eastAsia="Times New Roman"/>
                <w:lang w:eastAsia="nb-NO"/>
              </w:rPr>
              <w:t> 400 000</w:t>
            </w:r>
          </w:p>
        </w:tc>
      </w:tr>
    </w:tbl>
    <w:p w14:paraId="6539B396" w14:textId="77777777" w:rsidR="00AA61FD" w:rsidRDefault="00AA61FD" w:rsidP="00AA61FD">
      <w:pPr>
        <w:rPr>
          <w:rFonts w:eastAsia="Times New Roman"/>
          <w:lang w:eastAsia="nb-NO"/>
        </w:rPr>
      </w:pPr>
      <w:bookmarkStart w:id="13" w:name="_Hlk43206099"/>
      <w:r w:rsidRPr="00EA613E">
        <w:rPr>
          <w:rStyle w:val="Svakreferanse"/>
        </w:rPr>
        <w:t>Kilde: BI v/ prof. Amir Sasson | NyAnalyse</w:t>
      </w:r>
      <w:bookmarkEnd w:id="13"/>
      <w:r>
        <w:rPr>
          <w:rStyle w:val="Svakreferanse"/>
        </w:rPr>
        <w:t xml:space="preserve">. </w:t>
      </w:r>
      <w:r>
        <w:rPr>
          <w:rFonts w:eastAsia="Times New Roman"/>
          <w:lang w:eastAsia="nb-NO"/>
        </w:rPr>
        <w:br/>
      </w:r>
    </w:p>
    <w:p w14:paraId="558FFB3E" w14:textId="202B0D3D" w:rsidR="00B77027" w:rsidRDefault="002363B3" w:rsidP="00EF1AEA">
      <w:pPr>
        <w:jc w:val="both"/>
        <w:rPr>
          <w:rFonts w:eastAsia="Times New Roman"/>
          <w:lang w:eastAsia="nb-NO"/>
        </w:rPr>
      </w:pPr>
      <w:r>
        <w:rPr>
          <w:rFonts w:eastAsia="Times New Roman"/>
          <w:lang w:eastAsia="nb-NO"/>
        </w:rPr>
        <w:t>Videre er d</w:t>
      </w:r>
      <w:r w:rsidR="00AA61FD">
        <w:rPr>
          <w:rFonts w:eastAsia="Times New Roman"/>
          <w:lang w:eastAsia="nb-NO"/>
        </w:rPr>
        <w:t xml:space="preserve">et hensiktsmessig å studere hvilke kapitalkilder som står for finansieringen av </w:t>
      </w:r>
      <w:r>
        <w:rPr>
          <w:rFonts w:eastAsia="Times New Roman"/>
          <w:lang w:eastAsia="nb-NO"/>
        </w:rPr>
        <w:t xml:space="preserve">disse </w:t>
      </w:r>
      <w:r w:rsidR="00AA61FD">
        <w:rPr>
          <w:rFonts w:eastAsia="Times New Roman"/>
          <w:lang w:eastAsia="nb-NO"/>
        </w:rPr>
        <w:t>egenkapitalemisjonene i norske bedrifter.</w:t>
      </w:r>
      <w:r>
        <w:rPr>
          <w:rFonts w:eastAsia="Times New Roman"/>
          <w:lang w:eastAsia="nb-NO"/>
        </w:rPr>
        <w:t xml:space="preserve"> </w:t>
      </w:r>
      <w:r w:rsidR="00AA61FD">
        <w:rPr>
          <w:rFonts w:eastAsia="Times New Roman"/>
          <w:lang w:eastAsia="nb-NO"/>
        </w:rPr>
        <w:t>I figur 1</w:t>
      </w:r>
      <w:r w:rsidR="00C37216">
        <w:rPr>
          <w:rFonts w:eastAsia="Times New Roman"/>
          <w:lang w:eastAsia="nb-NO"/>
        </w:rPr>
        <w:t>3</w:t>
      </w:r>
      <w:r w:rsidR="00AA61FD">
        <w:rPr>
          <w:rFonts w:eastAsia="Times New Roman"/>
          <w:lang w:eastAsia="nb-NO"/>
        </w:rPr>
        <w:t xml:space="preserve"> under illustreres det totale emisjonsvolumet i perioden, fordelt etter utenlandsk, statlig og norsk privat emisjonskapital. Figuren demonstrerer tydelig at norsk privat egenkapital står for det høyeste emisjonsvolumet i norske bedrifter, </w:t>
      </w:r>
      <w:r>
        <w:rPr>
          <w:rFonts w:eastAsia="Times New Roman"/>
          <w:lang w:eastAsia="nb-NO"/>
        </w:rPr>
        <w:t>der</w:t>
      </w:r>
      <w:r w:rsidR="00AA61FD">
        <w:rPr>
          <w:rFonts w:eastAsia="Times New Roman"/>
          <w:lang w:eastAsia="nb-NO"/>
        </w:rPr>
        <w:t xml:space="preserve"> det har økt fra 26 til 37,2 m</w:t>
      </w:r>
      <w:r>
        <w:rPr>
          <w:rFonts w:eastAsia="Times New Roman"/>
          <w:lang w:eastAsia="nb-NO"/>
        </w:rPr>
        <w:t>rd.</w:t>
      </w:r>
      <w:r w:rsidR="00AA61FD">
        <w:rPr>
          <w:rFonts w:eastAsia="Times New Roman"/>
          <w:lang w:eastAsia="nb-NO"/>
        </w:rPr>
        <w:t xml:space="preserve"> kroner i perioden 2012-2015. En kan også observere at det utenlandske emisjonsvolumet har økt med omtrentlig 70 % i samme periode, fra 13,7 til 23,4 m</w:t>
      </w:r>
      <w:r>
        <w:rPr>
          <w:rFonts w:eastAsia="Times New Roman"/>
          <w:lang w:eastAsia="nb-NO"/>
        </w:rPr>
        <w:t>rd.</w:t>
      </w:r>
      <w:r w:rsidR="00AA61FD">
        <w:rPr>
          <w:rFonts w:eastAsia="Times New Roman"/>
          <w:lang w:eastAsia="nb-NO"/>
        </w:rPr>
        <w:t xml:space="preserve"> kroner. Det statlige volumet er merkbart lavere enn de to førstnevnte, men har mer enn doblet seg fra 2012 til 2015 (fra 1,7 mrd. i 2012 til 4,3 mrd. </w:t>
      </w:r>
      <w:r>
        <w:rPr>
          <w:rFonts w:eastAsia="Times New Roman"/>
          <w:lang w:eastAsia="nb-NO"/>
        </w:rPr>
        <w:t xml:space="preserve">kroner </w:t>
      </w:r>
      <w:r w:rsidR="00AA61FD">
        <w:rPr>
          <w:rFonts w:eastAsia="Times New Roman"/>
          <w:lang w:eastAsia="nb-NO"/>
        </w:rPr>
        <w:t>i 2015).</w:t>
      </w:r>
      <w:bookmarkStart w:id="14" w:name="_Hlk51752175"/>
    </w:p>
    <w:p w14:paraId="2EA79A61" w14:textId="00B2F3A4" w:rsidR="00EF1AEA" w:rsidRDefault="00EF1AEA" w:rsidP="00EF1AEA">
      <w:pPr>
        <w:jc w:val="both"/>
        <w:rPr>
          <w:rFonts w:eastAsia="Times New Roman"/>
          <w:lang w:eastAsia="nb-NO"/>
        </w:rPr>
      </w:pPr>
    </w:p>
    <w:p w14:paraId="6C397C71" w14:textId="2281DE41" w:rsidR="00EF1AEA" w:rsidRPr="00EF1AEA" w:rsidRDefault="00EF1AEA" w:rsidP="00EF1AEA">
      <w:pPr>
        <w:jc w:val="both"/>
        <w:rPr>
          <w:rFonts w:eastAsia="Times New Roman"/>
          <w:lang w:eastAsia="nb-NO"/>
        </w:rPr>
      </w:pPr>
      <w:r>
        <w:rPr>
          <w:rFonts w:eastAsia="Times New Roman"/>
          <w:lang w:eastAsia="nb-NO"/>
        </w:rPr>
        <w:t>Figur 14 rapporterer den prosentvise fordelingen av emisjoner hvert år i den ovennevnte perioden. Som den viser har i overkant en tredjedel av emisjonene fra 2012 til 2015 vært utenlandske, mens over og i underkant av 60 prosent er finansiert ved norsk privat egenkapital. Dette illustrerer som nevnt at majoriteten av emisjoner gjennomført i norske bedrifter finansieres ved hjelp av norske private kapitalkilder. Det statlige emisjonsvolumet har i samme periode utgjort omtrentlig 4-7 prosent av det totale emisjonsvolumet.</w:t>
      </w:r>
    </w:p>
    <w:p w14:paraId="31B3EB36" w14:textId="69BB768E" w:rsidR="00AA61FD" w:rsidRDefault="00AA61FD" w:rsidP="00AA61FD">
      <w:pPr>
        <w:pStyle w:val="Bildetekst"/>
        <w:keepNext/>
      </w:pPr>
      <w:r>
        <w:lastRenderedPageBreak/>
        <w:t xml:space="preserve">Figur </w:t>
      </w:r>
      <w:r w:rsidR="009A6A52">
        <w:fldChar w:fldCharType="begin"/>
      </w:r>
      <w:r w:rsidR="009A6A52">
        <w:instrText xml:space="preserve"> SEQ Figur \* ARABIC </w:instrText>
      </w:r>
      <w:r w:rsidR="009A6A52">
        <w:fldChar w:fldCharType="separate"/>
      </w:r>
      <w:r w:rsidR="00C37216">
        <w:rPr>
          <w:noProof/>
        </w:rPr>
        <w:t>13</w:t>
      </w:r>
      <w:r w:rsidR="009A6A52">
        <w:rPr>
          <w:noProof/>
        </w:rPr>
        <w:fldChar w:fldCharType="end"/>
      </w:r>
      <w:r>
        <w:t>: Total fordeling av egenkapitalemisjoner i alle norske bedrifter, 2012-2015. Inndelt etter kapitalkilde. Volum i milliarder</w:t>
      </w:r>
    </w:p>
    <w:p w14:paraId="5E533E66" w14:textId="77777777" w:rsidR="00AA61FD" w:rsidRDefault="00AA61FD" w:rsidP="00AA61FD">
      <w:pPr>
        <w:rPr>
          <w:rFonts w:eastAsia="Times New Roman"/>
          <w:lang w:eastAsia="nb-NO"/>
        </w:rPr>
      </w:pPr>
      <w:r>
        <w:rPr>
          <w:rFonts w:eastAsia="Times New Roman"/>
          <w:noProof/>
          <w:lang w:eastAsia="nb-NO"/>
        </w:rPr>
        <w:drawing>
          <wp:inline distT="0" distB="0" distL="0" distR="0" wp14:anchorId="6416FAF5" wp14:editId="5036028B">
            <wp:extent cx="5486400" cy="2750820"/>
            <wp:effectExtent l="0" t="0" r="0" b="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eastAsia="Times New Roman"/>
          <w:lang w:eastAsia="nb-NO"/>
        </w:rPr>
        <w:br/>
      </w:r>
      <w:r w:rsidRPr="00EA613E">
        <w:rPr>
          <w:rStyle w:val="Svakreferanse"/>
        </w:rPr>
        <w:t>Kilde: BI v/ prof. Amir Sasson | NyAnalyse</w:t>
      </w:r>
      <w:r>
        <w:rPr>
          <w:rFonts w:eastAsia="Times New Roman"/>
          <w:lang w:eastAsia="nb-NO"/>
        </w:rPr>
        <w:br/>
      </w:r>
    </w:p>
    <w:bookmarkEnd w:id="14"/>
    <w:p w14:paraId="3A8DA958" w14:textId="37324FC5" w:rsidR="00AA61FD" w:rsidRDefault="002363B3" w:rsidP="00AA61FD">
      <w:pPr>
        <w:jc w:val="both"/>
      </w:pPr>
      <w:r>
        <w:rPr>
          <w:rFonts w:eastAsia="Times New Roman"/>
          <w:lang w:eastAsia="nb-NO"/>
        </w:rPr>
        <w:br/>
      </w:r>
    </w:p>
    <w:p w14:paraId="67A66A16" w14:textId="010C2CD8" w:rsidR="00AA61FD" w:rsidRDefault="00AA61FD" w:rsidP="00AA61FD">
      <w:pPr>
        <w:pStyle w:val="Bildetekst"/>
        <w:keepNext/>
      </w:pPr>
      <w:r>
        <w:t xml:space="preserve">Figur </w:t>
      </w:r>
      <w:r w:rsidR="009A6A52">
        <w:fldChar w:fldCharType="begin"/>
      </w:r>
      <w:r w:rsidR="009A6A52">
        <w:instrText xml:space="preserve"> SEQ Figur \* ARABIC </w:instrText>
      </w:r>
      <w:r w:rsidR="009A6A52">
        <w:fldChar w:fldCharType="separate"/>
      </w:r>
      <w:r w:rsidR="00C37216">
        <w:rPr>
          <w:noProof/>
        </w:rPr>
        <w:t>14</w:t>
      </w:r>
      <w:r w:rsidR="009A6A52">
        <w:rPr>
          <w:noProof/>
        </w:rPr>
        <w:fldChar w:fldCharType="end"/>
      </w:r>
      <w:r>
        <w:t>: Total fordeling av egenkapitalemisjoner i alle norske bedrifter, 2012-2015. Kapitalandeler i prosent</w:t>
      </w:r>
    </w:p>
    <w:p w14:paraId="7640B504" w14:textId="77777777" w:rsidR="00AA61FD" w:rsidRDefault="00AA61FD" w:rsidP="00AA61FD">
      <w:pPr>
        <w:rPr>
          <w:rStyle w:val="Svakreferanse"/>
        </w:rPr>
      </w:pPr>
      <w:r w:rsidRPr="00A02477">
        <w:rPr>
          <w:rFonts w:eastAsia="Times New Roman"/>
          <w:noProof/>
          <w:lang w:eastAsia="nb-NO"/>
        </w:rPr>
        <w:drawing>
          <wp:inline distT="0" distB="0" distL="0" distR="0" wp14:anchorId="6BF3D593" wp14:editId="66D52B4B">
            <wp:extent cx="5684520" cy="2583872"/>
            <wp:effectExtent l="0" t="0" r="0" b="6985"/>
            <wp:docPr id="65" name="Diagram 65">
              <a:extLst xmlns:a="http://schemas.openxmlformats.org/drawingml/2006/main">
                <a:ext uri="{FF2B5EF4-FFF2-40B4-BE49-F238E27FC236}">
                  <a16:creationId xmlns:a16="http://schemas.microsoft.com/office/drawing/2014/main" id="{DBC4DDC4-B824-4DE2-A175-45823EA04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Start w:id="15" w:name="_Hlk43720000"/>
    </w:p>
    <w:p w14:paraId="2B6D514A" w14:textId="77777777" w:rsidR="00AA61FD" w:rsidRDefault="00AA61FD" w:rsidP="00AA61FD">
      <w:pPr>
        <w:rPr>
          <w:rStyle w:val="Overskrift2Tegn"/>
        </w:rPr>
      </w:pPr>
      <w:r w:rsidRPr="00EA613E">
        <w:rPr>
          <w:rStyle w:val="Svakreferanse"/>
        </w:rPr>
        <w:t>Kilde: BI v/ prof. Amir Sasson | NyAnalyse</w:t>
      </w:r>
      <w:bookmarkEnd w:id="15"/>
    </w:p>
    <w:p w14:paraId="1F647CB8" w14:textId="77777777" w:rsidR="00B30E5A" w:rsidRPr="00B30E5A" w:rsidRDefault="00B30E5A" w:rsidP="00321ED5">
      <w:pPr>
        <w:pStyle w:val="Overskrift3"/>
        <w:rPr>
          <w:rStyle w:val="Overskrift2Tegn"/>
          <w:b/>
          <w:color w:val="1F4D78" w:themeColor="accent1" w:themeShade="7F"/>
          <w:sz w:val="16"/>
          <w:szCs w:val="16"/>
        </w:rPr>
      </w:pPr>
    </w:p>
    <w:p w14:paraId="37A9A35D" w14:textId="77777777" w:rsidR="00EF1AEA" w:rsidRDefault="00EF1AEA">
      <w:pPr>
        <w:spacing w:after="160" w:line="259" w:lineRule="auto"/>
        <w:rPr>
          <w:rFonts w:eastAsia="Times New Roman"/>
          <w:b/>
          <w:bCs/>
          <w:sz w:val="24"/>
          <w:szCs w:val="24"/>
          <w:lang w:eastAsia="nb-NO"/>
        </w:rPr>
      </w:pPr>
      <w:r>
        <w:rPr>
          <w:rFonts w:eastAsia="Times New Roman"/>
          <w:b/>
          <w:bCs/>
          <w:sz w:val="24"/>
          <w:szCs w:val="24"/>
          <w:lang w:eastAsia="nb-NO"/>
        </w:rPr>
        <w:br w:type="page"/>
      </w:r>
    </w:p>
    <w:p w14:paraId="7F30A648" w14:textId="00C599CB" w:rsidR="00441DA8" w:rsidRPr="00441DA8" w:rsidRDefault="00441DA8" w:rsidP="00AA61FD">
      <w:pPr>
        <w:jc w:val="both"/>
        <w:rPr>
          <w:rFonts w:eastAsia="Times New Roman"/>
          <w:b/>
          <w:bCs/>
          <w:sz w:val="24"/>
          <w:szCs w:val="24"/>
          <w:lang w:eastAsia="nb-NO"/>
        </w:rPr>
      </w:pPr>
      <w:r>
        <w:rPr>
          <w:rFonts w:eastAsia="Times New Roman"/>
          <w:b/>
          <w:bCs/>
          <w:sz w:val="24"/>
          <w:szCs w:val="24"/>
          <w:lang w:eastAsia="nb-NO"/>
        </w:rPr>
        <w:lastRenderedPageBreak/>
        <w:t>Fordeling etter bedriftsstørrelse</w:t>
      </w:r>
    </w:p>
    <w:p w14:paraId="31E653C6" w14:textId="08A6B9C0" w:rsidR="0038178C" w:rsidRDefault="00AA61FD" w:rsidP="00AA61FD">
      <w:pPr>
        <w:jc w:val="both"/>
        <w:rPr>
          <w:rFonts w:eastAsia="Times New Roman"/>
          <w:lang w:eastAsia="nb-NO"/>
        </w:rPr>
      </w:pPr>
      <w:r>
        <w:rPr>
          <w:rFonts w:eastAsia="Times New Roman"/>
          <w:lang w:eastAsia="nb-NO"/>
        </w:rPr>
        <w:t xml:space="preserve">I dette kapittelet </w:t>
      </w:r>
      <w:r w:rsidR="00B30E5A">
        <w:rPr>
          <w:rFonts w:eastAsia="Times New Roman"/>
          <w:lang w:eastAsia="nb-NO"/>
        </w:rPr>
        <w:t>blir</w:t>
      </w:r>
      <w:r>
        <w:rPr>
          <w:rFonts w:eastAsia="Times New Roman"/>
          <w:lang w:eastAsia="nb-NO"/>
        </w:rPr>
        <w:t xml:space="preserve"> fordelingen av utenlandsk, statlig og norsk privat egenkapital i både volum og andeler,</w:t>
      </w:r>
      <w:r>
        <w:rPr>
          <w:rFonts w:eastAsia="Times New Roman"/>
          <w:color w:val="FF0000"/>
          <w:lang w:eastAsia="nb-NO"/>
        </w:rPr>
        <w:t xml:space="preserve"> </w:t>
      </w:r>
      <w:r>
        <w:rPr>
          <w:rFonts w:eastAsia="Times New Roman"/>
          <w:lang w:eastAsia="nb-NO"/>
        </w:rPr>
        <w:t>men denne gangen er antall gjennomførte emisjonsavtaler og emisjonsvolumet inndelt etter bedriftsstørrelse. EU opererer med ulike definisjoner for hva som karakteriserer en SMB-bedrift, både etter bedriftens antall ansatte, årlig omsetning, og eiendeler (aktiva) i bedriften.  I oversikten som følger under er bedriftene inndelt etter størrelser basert på de totale eiendelene de besitter</w:t>
      </w:r>
      <w:r w:rsidR="00513257">
        <w:rPr>
          <w:rFonts w:eastAsia="Times New Roman"/>
          <w:lang w:eastAsia="nb-NO"/>
        </w:rPr>
        <w:t>, målt ved EU-skalaen på størrelse</w:t>
      </w:r>
      <w:r>
        <w:rPr>
          <w:rFonts w:eastAsia="Times New Roman"/>
          <w:lang w:eastAsia="nb-NO"/>
        </w:rPr>
        <w:t>. Tabell 2 viser dette, og deler de norske bedriftene inn i</w:t>
      </w:r>
      <w:r w:rsidR="00D20669">
        <w:rPr>
          <w:rFonts w:eastAsia="Times New Roman"/>
          <w:lang w:eastAsia="nb-NO"/>
        </w:rPr>
        <w:t xml:space="preserve"> </w:t>
      </w:r>
      <w:r>
        <w:rPr>
          <w:rFonts w:eastAsia="Times New Roman"/>
          <w:lang w:eastAsia="nb-NO"/>
        </w:rPr>
        <w:t>fire følgende størrelse</w:t>
      </w:r>
      <w:r w:rsidR="00D20669">
        <w:rPr>
          <w:rFonts w:eastAsia="Times New Roman"/>
          <w:lang w:eastAsia="nb-NO"/>
        </w:rPr>
        <w:t>r</w:t>
      </w:r>
      <w:r>
        <w:rPr>
          <w:rFonts w:eastAsia="Times New Roman"/>
          <w:lang w:eastAsia="nb-NO"/>
        </w:rPr>
        <w:t xml:space="preserve">; </w:t>
      </w:r>
      <w:r w:rsidRPr="00A07120">
        <w:rPr>
          <w:rFonts w:eastAsia="Times New Roman"/>
          <w:lang w:eastAsia="nb-NO"/>
        </w:rPr>
        <w:t>mikro, liten, mellomstor og stor.</w:t>
      </w:r>
    </w:p>
    <w:p w14:paraId="43F83B29" w14:textId="77777777" w:rsidR="00945B0D" w:rsidRPr="00C37216" w:rsidRDefault="00945B0D" w:rsidP="00AA61FD">
      <w:pPr>
        <w:pStyle w:val="Bildetekst"/>
        <w:keepNext/>
        <w:rPr>
          <w:sz w:val="12"/>
          <w:szCs w:val="12"/>
        </w:rPr>
      </w:pPr>
      <w:bookmarkStart w:id="16" w:name="_Hlk51753036"/>
    </w:p>
    <w:p w14:paraId="76E4EB50" w14:textId="4DEA310B" w:rsidR="00AA61FD" w:rsidRDefault="00AA61FD" w:rsidP="00AA61FD">
      <w:pPr>
        <w:pStyle w:val="Bildetekst"/>
        <w:keepNext/>
      </w:pPr>
      <w:r>
        <w:t xml:space="preserve">Tabell </w:t>
      </w:r>
      <w:r w:rsidR="009A6A52">
        <w:fldChar w:fldCharType="begin"/>
      </w:r>
      <w:r w:rsidR="009A6A52">
        <w:instrText xml:space="preserve"> SEQ Tabell \* ARABIC </w:instrText>
      </w:r>
      <w:r w:rsidR="009A6A52">
        <w:fldChar w:fldCharType="separate"/>
      </w:r>
      <w:r w:rsidR="00513257">
        <w:rPr>
          <w:noProof/>
        </w:rPr>
        <w:t>2</w:t>
      </w:r>
      <w:r w:rsidR="009A6A52">
        <w:rPr>
          <w:noProof/>
        </w:rPr>
        <w:fldChar w:fldCharType="end"/>
      </w:r>
      <w:r>
        <w:t>: Bedrifters størrelseskategori inndelt etter eiendeler</w:t>
      </w:r>
      <w:r w:rsidR="00D20669">
        <w:t xml:space="preserve"> i bedrift</w:t>
      </w:r>
      <w:r>
        <w:t xml:space="preserve">, basert på EUs SMB-definisjon. </w:t>
      </w:r>
      <w:r w:rsidR="00D20669">
        <w:t>S</w:t>
      </w:r>
      <w:r>
        <w:t>tørrelse</w:t>
      </w:r>
      <w:r w:rsidR="00D20669">
        <w:t xml:space="preserve"> på eiendeler oppgitt</w:t>
      </w:r>
      <w:r>
        <w:t xml:space="preserve"> i euro og kr</w:t>
      </w:r>
      <w:r w:rsidR="00D20669">
        <w:t>oner</w:t>
      </w:r>
    </w:p>
    <w:tbl>
      <w:tblPr>
        <w:tblStyle w:val="Rutenettabell4uthevingsfarge1"/>
        <w:tblW w:w="4996" w:type="pct"/>
        <w:tblLook w:val="0420" w:firstRow="1" w:lastRow="0" w:firstColumn="0" w:lastColumn="0" w:noHBand="0" w:noVBand="1"/>
      </w:tblPr>
      <w:tblGrid>
        <w:gridCol w:w="1329"/>
        <w:gridCol w:w="3393"/>
        <w:gridCol w:w="4333"/>
      </w:tblGrid>
      <w:tr w:rsidR="0038178C" w:rsidRPr="00F20456" w14:paraId="3464861C" w14:textId="77777777" w:rsidTr="00321ED5">
        <w:trPr>
          <w:cnfStyle w:val="100000000000" w:firstRow="1" w:lastRow="0" w:firstColumn="0" w:lastColumn="0" w:oddVBand="0" w:evenVBand="0" w:oddHBand="0" w:evenHBand="0" w:firstRowFirstColumn="0" w:firstRowLastColumn="0" w:lastRowFirstColumn="0" w:lastRowLastColumn="0"/>
          <w:trHeight w:val="355"/>
        </w:trPr>
        <w:tc>
          <w:tcPr>
            <w:tcW w:w="0" w:type="pct"/>
            <w:hideMark/>
          </w:tcPr>
          <w:p w14:paraId="47246123" w14:textId="62902435" w:rsidR="00AA61FD" w:rsidRPr="00F20456" w:rsidRDefault="00AA61FD" w:rsidP="00321ED5">
            <w:r w:rsidRPr="00F20456">
              <w:t>Størrelses</w:t>
            </w:r>
            <w:r w:rsidR="0038178C">
              <w:t>-</w:t>
            </w:r>
            <w:r w:rsidRPr="00F20456">
              <w:t>kategori</w:t>
            </w:r>
          </w:p>
        </w:tc>
        <w:tc>
          <w:tcPr>
            <w:tcW w:w="1902" w:type="pct"/>
            <w:hideMark/>
          </w:tcPr>
          <w:p w14:paraId="59AF45F8" w14:textId="77777777" w:rsidR="00AA61FD" w:rsidRPr="00F20456" w:rsidRDefault="00AA61FD" w:rsidP="00321ED5">
            <w:r w:rsidRPr="00F20456">
              <w:t>Størrelsesorden</w:t>
            </w:r>
          </w:p>
        </w:tc>
        <w:tc>
          <w:tcPr>
            <w:tcW w:w="2341" w:type="pct"/>
          </w:tcPr>
          <w:p w14:paraId="341C1529" w14:textId="77777777" w:rsidR="00AA61FD" w:rsidRPr="00F20456" w:rsidRDefault="00AA61FD" w:rsidP="00321ED5">
            <w:r>
              <w:t>Størrelsesorden omregnet til norske kroner</w:t>
            </w:r>
          </w:p>
        </w:tc>
      </w:tr>
      <w:tr w:rsidR="0038178C" w:rsidRPr="00F20456" w14:paraId="7D5FA2FB" w14:textId="77777777" w:rsidTr="00321ED5">
        <w:trPr>
          <w:cnfStyle w:val="000000100000" w:firstRow="0" w:lastRow="0" w:firstColumn="0" w:lastColumn="0" w:oddVBand="0" w:evenVBand="0" w:oddHBand="1" w:evenHBand="0" w:firstRowFirstColumn="0" w:firstRowLastColumn="0" w:lastRowFirstColumn="0" w:lastRowLastColumn="0"/>
          <w:trHeight w:val="355"/>
        </w:trPr>
        <w:tc>
          <w:tcPr>
            <w:tcW w:w="0" w:type="pct"/>
            <w:hideMark/>
          </w:tcPr>
          <w:p w14:paraId="0F79AD34" w14:textId="77777777" w:rsidR="00AA61FD" w:rsidRPr="00321ED5" w:rsidRDefault="00AA61FD" w:rsidP="00945B0D">
            <w:pPr>
              <w:rPr>
                <w:b/>
                <w:bCs/>
              </w:rPr>
            </w:pPr>
            <w:r w:rsidRPr="00321ED5">
              <w:rPr>
                <w:b/>
                <w:bCs/>
              </w:rPr>
              <w:t>Mikro</w:t>
            </w:r>
          </w:p>
        </w:tc>
        <w:tc>
          <w:tcPr>
            <w:tcW w:w="1902" w:type="pct"/>
            <w:hideMark/>
          </w:tcPr>
          <w:p w14:paraId="49F64CE0" w14:textId="45F0D6A0" w:rsidR="00AA61FD" w:rsidRPr="00F20456" w:rsidRDefault="00AA61FD" w:rsidP="00945B0D">
            <w:r w:rsidRPr="00F20456">
              <w:t xml:space="preserve">Eiendeler &lt; </w:t>
            </w:r>
            <w:r>
              <w:t xml:space="preserve">€ </w:t>
            </w:r>
            <w:r w:rsidRPr="00F20456">
              <w:t xml:space="preserve">2 </w:t>
            </w:r>
            <w:r w:rsidR="0038178C">
              <w:t>mill.</w:t>
            </w:r>
          </w:p>
        </w:tc>
        <w:tc>
          <w:tcPr>
            <w:tcW w:w="2341" w:type="pct"/>
          </w:tcPr>
          <w:p w14:paraId="08F014EE" w14:textId="13E06670" w:rsidR="00AA61FD" w:rsidRPr="00F20456" w:rsidRDefault="00AA61FD" w:rsidP="00945B0D">
            <w:r w:rsidRPr="00F20456">
              <w:t xml:space="preserve">Eiendeler &lt; </w:t>
            </w:r>
            <w:r w:rsidR="0038178C">
              <w:t xml:space="preserve">ca. </w:t>
            </w:r>
            <w:r>
              <w:t>16 mill. kr</w:t>
            </w:r>
          </w:p>
        </w:tc>
      </w:tr>
      <w:tr w:rsidR="0038178C" w:rsidRPr="00F20456" w14:paraId="085ADACE" w14:textId="77777777" w:rsidTr="00321ED5">
        <w:trPr>
          <w:trHeight w:val="750"/>
        </w:trPr>
        <w:tc>
          <w:tcPr>
            <w:tcW w:w="0" w:type="pct"/>
            <w:hideMark/>
          </w:tcPr>
          <w:p w14:paraId="58FC840C" w14:textId="77777777" w:rsidR="00AA61FD" w:rsidRPr="00321ED5" w:rsidRDefault="00AA61FD" w:rsidP="00945B0D">
            <w:pPr>
              <w:rPr>
                <w:b/>
                <w:bCs/>
              </w:rPr>
            </w:pPr>
            <w:r w:rsidRPr="00321ED5">
              <w:rPr>
                <w:b/>
                <w:bCs/>
              </w:rPr>
              <w:t>Liten</w:t>
            </w:r>
          </w:p>
        </w:tc>
        <w:tc>
          <w:tcPr>
            <w:tcW w:w="1902" w:type="pct"/>
            <w:hideMark/>
          </w:tcPr>
          <w:p w14:paraId="6A62ACC7" w14:textId="03C9AA70" w:rsidR="00AA61FD" w:rsidRPr="00F20456" w:rsidRDefault="00AA61FD" w:rsidP="00945B0D">
            <w:r>
              <w:t xml:space="preserve">€ </w:t>
            </w:r>
            <w:r w:rsidRPr="00F20456">
              <w:t>2 </w:t>
            </w:r>
            <w:r w:rsidR="0038178C">
              <w:t>mill.</w:t>
            </w:r>
            <w:r w:rsidRPr="00F20456">
              <w:t xml:space="preserve"> </w:t>
            </w:r>
            <m:oMath>
              <m:r>
                <m:rPr>
                  <m:sty m:val="p"/>
                </m:rPr>
                <w:rPr>
                  <w:rFonts w:ascii="Cambria Math" w:hAnsi="Cambria Math"/>
                </w:rPr>
                <m:t>≤</m:t>
              </m:r>
            </m:oMath>
            <w:r w:rsidRPr="00F20456">
              <w:t xml:space="preserve"> Eiendeler &lt; </w:t>
            </w:r>
            <w:r>
              <w:t xml:space="preserve">€ </w:t>
            </w:r>
            <w:r w:rsidRPr="00F20456">
              <w:t xml:space="preserve">10 </w:t>
            </w:r>
            <w:r w:rsidR="0038178C">
              <w:t>mill.</w:t>
            </w:r>
            <w:r w:rsidRPr="00F20456">
              <w:t xml:space="preserve"> </w:t>
            </w:r>
          </w:p>
        </w:tc>
        <w:tc>
          <w:tcPr>
            <w:tcW w:w="2341" w:type="pct"/>
          </w:tcPr>
          <w:p w14:paraId="668B4820" w14:textId="0634EC81" w:rsidR="00AA61FD" w:rsidRPr="00F20456" w:rsidRDefault="0038178C" w:rsidP="00945B0D">
            <w:r>
              <w:t xml:space="preserve">Ca. </w:t>
            </w:r>
            <w:r w:rsidR="00AA61FD">
              <w:t xml:space="preserve">16 mill. </w:t>
            </w:r>
            <w:r w:rsidR="00AA61FD" w:rsidRPr="00F20456">
              <w:t xml:space="preserve"> </w:t>
            </w:r>
            <m:oMath>
              <m:r>
                <m:rPr>
                  <m:sty m:val="p"/>
                </m:rPr>
                <w:rPr>
                  <w:rFonts w:ascii="Cambria Math" w:hAnsi="Cambria Math"/>
                </w:rPr>
                <m:t>≤</m:t>
              </m:r>
            </m:oMath>
            <w:r w:rsidR="00AA61FD" w:rsidRPr="00F20456">
              <w:t xml:space="preserve"> Eiendeler &lt; </w:t>
            </w:r>
            <w:r>
              <w:t xml:space="preserve">ca. </w:t>
            </w:r>
            <w:r w:rsidR="00AA61FD">
              <w:t>8</w:t>
            </w:r>
            <w:r>
              <w:t>2</w:t>
            </w:r>
            <w:r w:rsidR="00AA61FD">
              <w:t xml:space="preserve"> mill. kr</w:t>
            </w:r>
          </w:p>
        </w:tc>
      </w:tr>
      <w:tr w:rsidR="0038178C" w:rsidRPr="00F20456" w14:paraId="2956AD88" w14:textId="77777777" w:rsidTr="00321ED5">
        <w:trPr>
          <w:cnfStyle w:val="000000100000" w:firstRow="0" w:lastRow="0" w:firstColumn="0" w:lastColumn="0" w:oddVBand="0" w:evenVBand="0" w:oddHBand="1" w:evenHBand="0" w:firstRowFirstColumn="0" w:firstRowLastColumn="0" w:lastRowFirstColumn="0" w:lastRowLastColumn="0"/>
          <w:trHeight w:val="750"/>
        </w:trPr>
        <w:tc>
          <w:tcPr>
            <w:tcW w:w="0" w:type="pct"/>
            <w:hideMark/>
          </w:tcPr>
          <w:p w14:paraId="2088C8E2" w14:textId="77777777" w:rsidR="00AA61FD" w:rsidRPr="00321ED5" w:rsidRDefault="00AA61FD" w:rsidP="00945B0D">
            <w:pPr>
              <w:rPr>
                <w:b/>
                <w:bCs/>
              </w:rPr>
            </w:pPr>
            <w:r w:rsidRPr="00321ED5">
              <w:rPr>
                <w:b/>
                <w:bCs/>
              </w:rPr>
              <w:t>Mellomstor</w:t>
            </w:r>
          </w:p>
        </w:tc>
        <w:tc>
          <w:tcPr>
            <w:tcW w:w="1902" w:type="pct"/>
            <w:hideMark/>
          </w:tcPr>
          <w:p w14:paraId="3A8F5AD9" w14:textId="3C5A136B" w:rsidR="00AA61FD" w:rsidRPr="00F20456" w:rsidRDefault="00AA61FD" w:rsidP="00945B0D">
            <w:r>
              <w:t xml:space="preserve">€ </w:t>
            </w:r>
            <w:r w:rsidRPr="00F20456">
              <w:t xml:space="preserve">10 </w:t>
            </w:r>
            <w:r w:rsidR="0038178C">
              <w:t>mill.</w:t>
            </w:r>
            <w:r w:rsidRPr="00F20456">
              <w:t xml:space="preserve"> </w:t>
            </w:r>
            <m:oMath>
              <m:r>
                <m:rPr>
                  <m:sty m:val="p"/>
                </m:rPr>
                <w:rPr>
                  <w:rFonts w:ascii="Cambria Math" w:hAnsi="Cambria Math"/>
                </w:rPr>
                <m:t>≤</m:t>
              </m:r>
            </m:oMath>
            <w:r w:rsidRPr="00F20456">
              <w:t xml:space="preserve"> Eiendeler &lt; </w:t>
            </w:r>
            <w:r>
              <w:t xml:space="preserve">€ </w:t>
            </w:r>
            <w:r w:rsidRPr="00F20456">
              <w:t xml:space="preserve">43 </w:t>
            </w:r>
            <w:r w:rsidR="0038178C">
              <w:t>mill.</w:t>
            </w:r>
            <w:r>
              <w:t xml:space="preserve"> </w:t>
            </w:r>
          </w:p>
        </w:tc>
        <w:tc>
          <w:tcPr>
            <w:tcW w:w="2341" w:type="pct"/>
          </w:tcPr>
          <w:p w14:paraId="289CFB05" w14:textId="4AA502CF" w:rsidR="00AA61FD" w:rsidRPr="00F20456" w:rsidRDefault="0038178C" w:rsidP="00945B0D">
            <w:r>
              <w:t xml:space="preserve">Ca. </w:t>
            </w:r>
            <w:r w:rsidR="00AA61FD">
              <w:t>8</w:t>
            </w:r>
            <w:r>
              <w:t>2</w:t>
            </w:r>
            <w:r w:rsidR="00AA61FD">
              <w:t xml:space="preserve"> mill.</w:t>
            </w:r>
            <w:r w:rsidR="00AA61FD" w:rsidRPr="00F20456">
              <w:t xml:space="preserve"> </w:t>
            </w:r>
            <m:oMath>
              <m:r>
                <m:rPr>
                  <m:sty m:val="p"/>
                </m:rPr>
                <w:rPr>
                  <w:rFonts w:ascii="Cambria Math" w:hAnsi="Cambria Math"/>
                </w:rPr>
                <m:t>≤</m:t>
              </m:r>
            </m:oMath>
            <w:r w:rsidR="00AA61FD" w:rsidRPr="00F20456">
              <w:t xml:space="preserve"> Eiendeler &lt;</w:t>
            </w:r>
            <w:r w:rsidR="00AA61FD">
              <w:t xml:space="preserve"> </w:t>
            </w:r>
            <w:r>
              <w:t xml:space="preserve">ca. </w:t>
            </w:r>
            <w:r w:rsidR="00AA61FD">
              <w:t>350 mill. kr</w:t>
            </w:r>
          </w:p>
        </w:tc>
      </w:tr>
      <w:tr w:rsidR="0038178C" w:rsidRPr="00F20456" w14:paraId="147C0C3A" w14:textId="77777777" w:rsidTr="00321ED5">
        <w:trPr>
          <w:trHeight w:val="355"/>
        </w:trPr>
        <w:tc>
          <w:tcPr>
            <w:tcW w:w="0" w:type="pct"/>
            <w:hideMark/>
          </w:tcPr>
          <w:p w14:paraId="7D4C1584" w14:textId="77777777" w:rsidR="00AA61FD" w:rsidRPr="00321ED5" w:rsidRDefault="00AA61FD" w:rsidP="00945B0D">
            <w:pPr>
              <w:rPr>
                <w:b/>
                <w:bCs/>
              </w:rPr>
            </w:pPr>
            <w:r w:rsidRPr="00321ED5">
              <w:rPr>
                <w:b/>
                <w:bCs/>
              </w:rPr>
              <w:t>Stor</w:t>
            </w:r>
          </w:p>
        </w:tc>
        <w:tc>
          <w:tcPr>
            <w:tcW w:w="1902" w:type="pct"/>
            <w:hideMark/>
          </w:tcPr>
          <w:p w14:paraId="6AE2645C" w14:textId="6C68408A" w:rsidR="00AA61FD" w:rsidRPr="00F20456" w:rsidRDefault="00AA61FD" w:rsidP="00945B0D">
            <w:r w:rsidRPr="00F20456">
              <w:t xml:space="preserve">Eiendeler </w:t>
            </w:r>
            <m:oMath>
              <m:r>
                <m:rPr>
                  <m:sty m:val="p"/>
                </m:rPr>
                <w:rPr>
                  <w:rFonts w:ascii="Cambria Math" w:hAnsi="Cambria Math"/>
                </w:rPr>
                <m:t>≥</m:t>
              </m:r>
            </m:oMath>
            <w:r w:rsidRPr="00F20456">
              <w:t xml:space="preserve"> </w:t>
            </w:r>
            <w:r>
              <w:t xml:space="preserve">€ </w:t>
            </w:r>
            <w:r w:rsidRPr="00F20456">
              <w:t>43 </w:t>
            </w:r>
            <w:r w:rsidR="0038178C">
              <w:t>mill.</w:t>
            </w:r>
          </w:p>
        </w:tc>
        <w:tc>
          <w:tcPr>
            <w:tcW w:w="2341" w:type="pct"/>
          </w:tcPr>
          <w:p w14:paraId="0A30FD8F" w14:textId="49168414" w:rsidR="00AA61FD" w:rsidRPr="00F20456" w:rsidRDefault="00AA61FD" w:rsidP="00945B0D">
            <w:r w:rsidRPr="00F20456">
              <w:t xml:space="preserve">Eiendeler </w:t>
            </w:r>
            <m:oMath>
              <m:r>
                <m:rPr>
                  <m:sty m:val="p"/>
                </m:rPr>
                <w:rPr>
                  <w:rFonts w:ascii="Cambria Math" w:hAnsi="Cambria Math"/>
                </w:rPr>
                <m:t>≥</m:t>
              </m:r>
            </m:oMath>
            <w:r w:rsidRPr="00F20456">
              <w:t xml:space="preserve"> </w:t>
            </w:r>
            <w:r w:rsidR="0038178C">
              <w:t xml:space="preserve">ca. </w:t>
            </w:r>
            <w:r>
              <w:t>350 mill. kr</w:t>
            </w:r>
          </w:p>
        </w:tc>
      </w:tr>
    </w:tbl>
    <w:p w14:paraId="75EDC62A" w14:textId="7B59EA6C" w:rsidR="00AA61FD" w:rsidRDefault="00AA61FD" w:rsidP="00AA61FD">
      <w:r w:rsidRPr="008417B9">
        <w:rPr>
          <w:rStyle w:val="Svakreferanse"/>
        </w:rPr>
        <w:t>Kilde</w:t>
      </w:r>
      <w:r>
        <w:rPr>
          <w:rStyle w:val="Svakreferanse"/>
        </w:rPr>
        <w:t>: EU-kommisjonen. Omtrentlig omregnet fra euro til norske kroner under analyseperioden (gjennomsnittlig EUR/NOK 2012-2015 = 8,15).</w:t>
      </w:r>
      <w:r w:rsidRPr="008417B9" w:rsidDel="00303CF6">
        <w:rPr>
          <w:rStyle w:val="Svakreferanse"/>
        </w:rPr>
        <w:t xml:space="preserve"> </w:t>
      </w:r>
      <w:r>
        <w:br/>
      </w:r>
    </w:p>
    <w:p w14:paraId="3DD822D5" w14:textId="0B4B4629" w:rsidR="00AA61FD" w:rsidRDefault="00AA61FD" w:rsidP="00AA61FD">
      <w:pPr>
        <w:jc w:val="both"/>
      </w:pPr>
      <w:r>
        <w:t>En SMB-bedrift (</w:t>
      </w:r>
      <w:r w:rsidR="00BC0E64">
        <w:t xml:space="preserve">her definert ved </w:t>
      </w:r>
      <w:r>
        <w:t xml:space="preserve">mikro-, liten- og mellomstor bedrift) vil falle innenfor de tre første kategoriene basert på sin </w:t>
      </w:r>
      <w:proofErr w:type="spellStart"/>
      <w:r>
        <w:t>aktivastørrelse</w:t>
      </w:r>
      <w:proofErr w:type="spellEnd"/>
      <w:r>
        <w:t xml:space="preserve">, der verdien på deres eiendeler ikke kan overstige </w:t>
      </w:r>
      <w:r w:rsidR="00BC0E64">
        <w:t>om lag</w:t>
      </w:r>
      <w:r>
        <w:t xml:space="preserve"> 350 mill. kroner totalt (omregnet fra euro til norske kroner). </w:t>
      </w:r>
      <w:bookmarkEnd w:id="16"/>
      <w:r>
        <w:t xml:space="preserve">Figur </w:t>
      </w:r>
      <w:r w:rsidR="00513257">
        <w:t>1</w:t>
      </w:r>
      <w:r w:rsidR="00C37216">
        <w:t>5</w:t>
      </w:r>
      <w:r>
        <w:t xml:space="preserve"> </w:t>
      </w:r>
      <w:r w:rsidR="00D20669">
        <w:t>illustrerer</w:t>
      </w:r>
      <w:r>
        <w:t xml:space="preserve"> antall emisjonsavtaler gjennomført per år i perioden 2012-2015 i størrelseskategoriene beskrevet over. Figuren viser at det over denne perioden ble det inngått flest emisjonsavtaler i små bedrifter gjennom alle årene, med rett i underkant av 1 500 emisjonsavtaler i 2015. Mikrobedrifter og mellomstore bedrifter etterfølger de små bedriftene tett når det gjelder antall emisjonsavtaler inngått fra 2012 til 2015, med rett i overkant av 1 000 avtaler tegnet i hver av de to kategoriene i 2015. Det ble tegnet færrest emisjonsavtaler i de store bedriftene i både 2013 og 2014, mens det i 2012 ble gjennomført like mange emisjonsavtaler i både mellomstore og store bedrifter (totalt 820 avtaler i hver av de to kategoriene). I tillegg ser man av figur </w:t>
      </w:r>
      <w:r w:rsidR="00513257">
        <w:t>1</w:t>
      </w:r>
      <w:r w:rsidR="000E2A6D">
        <w:t>5</w:t>
      </w:r>
      <w:r>
        <w:t xml:space="preserve"> at antallet gjennomførte emisjonsavtaler i store bedrifter steg relativt mye i 2015, tilsvarende 1</w:t>
      </w:r>
      <w:r w:rsidR="00D20669">
        <w:t xml:space="preserve"> </w:t>
      </w:r>
      <w:r>
        <w:t>22</w:t>
      </w:r>
      <w:r w:rsidR="00BC0E64">
        <w:t>0</w:t>
      </w:r>
      <w:r>
        <w:t xml:space="preserve"> tegnede avtaler. </w:t>
      </w:r>
    </w:p>
    <w:p w14:paraId="27BD1CAC" w14:textId="77777777" w:rsidR="00AA61FD" w:rsidRDefault="00AA61FD" w:rsidP="00AA61FD"/>
    <w:p w14:paraId="1D01BD6A" w14:textId="4B210C85" w:rsidR="00AA61FD" w:rsidRDefault="00AA61FD" w:rsidP="00AA61FD">
      <w:pPr>
        <w:pStyle w:val="Bildetekst"/>
        <w:keepNext/>
      </w:pPr>
      <w:bookmarkStart w:id="17" w:name="_Hlk51752356"/>
      <w:r>
        <w:lastRenderedPageBreak/>
        <w:t xml:space="preserve">Figur </w:t>
      </w:r>
      <w:r w:rsidR="009A6A52">
        <w:fldChar w:fldCharType="begin"/>
      </w:r>
      <w:r w:rsidR="009A6A52">
        <w:instrText xml:space="preserve"> SEQ Figur \* ARABIC </w:instrText>
      </w:r>
      <w:r w:rsidR="009A6A52">
        <w:fldChar w:fldCharType="separate"/>
      </w:r>
      <w:r w:rsidR="000E2A6D">
        <w:rPr>
          <w:noProof/>
        </w:rPr>
        <w:t>15</w:t>
      </w:r>
      <w:r w:rsidR="009A6A52">
        <w:rPr>
          <w:noProof/>
        </w:rPr>
        <w:fldChar w:fldCharType="end"/>
      </w:r>
      <w:r>
        <w:t xml:space="preserve">: </w:t>
      </w:r>
      <w:r w:rsidRPr="006C6F55">
        <w:t xml:space="preserve">Antall </w:t>
      </w:r>
      <w:r w:rsidR="00BC0E64">
        <w:t xml:space="preserve">identifiserte </w:t>
      </w:r>
      <w:r w:rsidRPr="006C6F55">
        <w:t>emisjonsavtaler i Norge, 2012-2015. Inndelt etter bedriftsstørrelse (eiendeler)</w:t>
      </w:r>
    </w:p>
    <w:p w14:paraId="50E56A43" w14:textId="77777777" w:rsidR="00945B0D" w:rsidRDefault="00AA61FD" w:rsidP="00AA61FD">
      <w:pPr>
        <w:jc w:val="both"/>
        <w:rPr>
          <w:rStyle w:val="Svakreferanse"/>
        </w:rPr>
      </w:pPr>
      <w:r>
        <w:rPr>
          <w:noProof/>
        </w:rPr>
        <w:drawing>
          <wp:inline distT="0" distB="0" distL="0" distR="0" wp14:anchorId="5B13BA0F" wp14:editId="1ED5ACB7">
            <wp:extent cx="5486400" cy="2895600"/>
            <wp:effectExtent l="0" t="0" r="0" b="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br/>
      </w:r>
      <w:r w:rsidRPr="00EA613E">
        <w:rPr>
          <w:rStyle w:val="Svakreferanse"/>
        </w:rPr>
        <w:t>Kilde: BI v/ prof. Amir Sasson | NyAnalyse</w:t>
      </w:r>
    </w:p>
    <w:bookmarkEnd w:id="17"/>
    <w:p w14:paraId="66CC578F" w14:textId="7759843D" w:rsidR="00AA61FD" w:rsidRDefault="00AA61FD" w:rsidP="00AA61FD">
      <w:pPr>
        <w:jc w:val="both"/>
      </w:pPr>
      <w:r>
        <w:br/>
        <w:t xml:space="preserve">Figur </w:t>
      </w:r>
      <w:r w:rsidR="00BC0E64">
        <w:t>1</w:t>
      </w:r>
      <w:r w:rsidR="000E2A6D">
        <w:t>5</w:t>
      </w:r>
      <w:r>
        <w:t xml:space="preserve"> </w:t>
      </w:r>
      <w:r w:rsidR="00653866">
        <w:t xml:space="preserve">synliggjør </w:t>
      </w:r>
      <w:r>
        <w:t xml:space="preserve">imidlertid at en betydelig andel av emisjonene gjennomføres i SMB-bedrifter. </w:t>
      </w:r>
      <w:r w:rsidR="00653866">
        <w:t xml:space="preserve">Figur </w:t>
      </w:r>
      <w:r w:rsidR="00BC0E64">
        <w:t>1</w:t>
      </w:r>
      <w:r w:rsidR="000E2A6D">
        <w:t>6</w:t>
      </w:r>
      <w:r>
        <w:t xml:space="preserve"> under illustrerer den prosentvise fordelingen mellom de fire størrelseskategoriene. </w:t>
      </w:r>
      <w:r>
        <w:rPr>
          <w:color w:val="000000" w:themeColor="text1"/>
        </w:rPr>
        <w:t>Figur</w:t>
      </w:r>
      <w:r w:rsidR="00653866">
        <w:rPr>
          <w:color w:val="000000" w:themeColor="text1"/>
        </w:rPr>
        <w:t xml:space="preserve">en </w:t>
      </w:r>
      <w:r>
        <w:rPr>
          <w:color w:val="000000" w:themeColor="text1"/>
        </w:rPr>
        <w:t>viser at henholdsvis 21, 31 og 2</w:t>
      </w:r>
      <w:r w:rsidR="00653866">
        <w:rPr>
          <w:color w:val="000000" w:themeColor="text1"/>
        </w:rPr>
        <w:t>3</w:t>
      </w:r>
      <w:r>
        <w:rPr>
          <w:color w:val="000000" w:themeColor="text1"/>
        </w:rPr>
        <w:t xml:space="preserve"> </w:t>
      </w:r>
      <w:r w:rsidR="00BC0E64">
        <w:rPr>
          <w:rFonts w:eastAsia="Times New Roman"/>
          <w:lang w:eastAsia="nb-NO"/>
        </w:rPr>
        <w:t>prosent</w:t>
      </w:r>
      <w:r>
        <w:rPr>
          <w:color w:val="000000" w:themeColor="text1"/>
        </w:rPr>
        <w:t xml:space="preserve"> av emisjonene i 2015 ble gjennomført i mikrobedrifter, små bedrifter og mellomstore bedrifter. Dette medfører at SMB-bedriftene sto for omtrentlig tre fjerdedeler av samtlige gjennomførte emisjon</w:t>
      </w:r>
      <w:r w:rsidR="00DF2681">
        <w:rPr>
          <w:color w:val="000000" w:themeColor="text1"/>
        </w:rPr>
        <w:t>er</w:t>
      </w:r>
      <w:r>
        <w:rPr>
          <w:color w:val="000000" w:themeColor="text1"/>
        </w:rPr>
        <w:t xml:space="preserve"> </w:t>
      </w:r>
      <w:r w:rsidR="00DF2681">
        <w:rPr>
          <w:color w:val="000000" w:themeColor="text1"/>
        </w:rPr>
        <w:t xml:space="preserve">i norske bedrifter </w:t>
      </w:r>
      <w:r>
        <w:rPr>
          <w:color w:val="000000" w:themeColor="text1"/>
        </w:rPr>
        <w:t>dette året.</w:t>
      </w:r>
    </w:p>
    <w:p w14:paraId="4847F0CD" w14:textId="77777777" w:rsidR="00AA61FD" w:rsidRDefault="00AA61FD" w:rsidP="00AA61FD"/>
    <w:p w14:paraId="0AEDB8E0" w14:textId="12019CF2" w:rsidR="00AA61FD" w:rsidRDefault="00AA61FD" w:rsidP="00AA61FD">
      <w:pPr>
        <w:pStyle w:val="Bildetekst"/>
        <w:keepNext/>
      </w:pPr>
      <w:r>
        <w:t xml:space="preserve">Figur </w:t>
      </w:r>
      <w:r w:rsidR="009A6A52">
        <w:fldChar w:fldCharType="begin"/>
      </w:r>
      <w:r w:rsidR="009A6A52">
        <w:instrText xml:space="preserve"> SEQ Figur \* ARABIC </w:instrText>
      </w:r>
      <w:r w:rsidR="009A6A52">
        <w:fldChar w:fldCharType="separate"/>
      </w:r>
      <w:r w:rsidR="00C37216">
        <w:rPr>
          <w:noProof/>
        </w:rPr>
        <w:t>16</w:t>
      </w:r>
      <w:r w:rsidR="009A6A52">
        <w:rPr>
          <w:noProof/>
        </w:rPr>
        <w:fldChar w:fldCharType="end"/>
      </w:r>
      <w:r>
        <w:t xml:space="preserve">: Fordeling av </w:t>
      </w:r>
      <w:r w:rsidRPr="001C6F6F">
        <w:t>emisjonsavtaler i Norge, 2012-2015. Inndelt etter bedriftsstørrelse (eiendeler)</w:t>
      </w:r>
    </w:p>
    <w:p w14:paraId="5CDA1907" w14:textId="77777777" w:rsidR="00AA61FD" w:rsidRDefault="00AA61FD" w:rsidP="00AA61FD">
      <w:pPr>
        <w:rPr>
          <w:rStyle w:val="Svakreferanse"/>
        </w:rPr>
      </w:pPr>
      <w:r>
        <w:rPr>
          <w:noProof/>
          <w:color w:val="000000" w:themeColor="text1"/>
        </w:rPr>
        <w:drawing>
          <wp:inline distT="0" distB="0" distL="0" distR="0" wp14:anchorId="064FA51A" wp14:editId="130E7051">
            <wp:extent cx="5486400" cy="2819400"/>
            <wp:effectExtent l="0" t="0" r="0" b="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color w:val="000000" w:themeColor="text1"/>
        </w:rPr>
        <w:br/>
      </w:r>
      <w:r w:rsidRPr="00EA613E">
        <w:rPr>
          <w:rStyle w:val="Svakreferanse"/>
        </w:rPr>
        <w:t>Kilde: BI v/ prof. Amir Sasson | NyAnalyse</w:t>
      </w:r>
    </w:p>
    <w:p w14:paraId="31FC2667" w14:textId="77777777" w:rsidR="00513257" w:rsidRDefault="00513257" w:rsidP="00AA61FD">
      <w:pPr>
        <w:jc w:val="both"/>
        <w:rPr>
          <w:color w:val="000000" w:themeColor="text1"/>
        </w:rPr>
      </w:pPr>
    </w:p>
    <w:p w14:paraId="29A33F16" w14:textId="7FBF619F" w:rsidR="00C37216" w:rsidRDefault="00AA61FD" w:rsidP="00AA61FD">
      <w:pPr>
        <w:jc w:val="both"/>
        <w:rPr>
          <w:color w:val="000000" w:themeColor="text1"/>
        </w:rPr>
      </w:pPr>
      <w:r>
        <w:rPr>
          <w:color w:val="000000" w:themeColor="text1"/>
        </w:rPr>
        <w:t xml:space="preserve">De kommende figurene viser fordelingen av emisjonsvolum og emisjonsavtaler i Norge fra 2015 inndelt etter de samme bedriftsstørrelsene, men i dette tilfellet er Oslo og daværende Akershus fylke isolert fra resten av landet. Figur </w:t>
      </w:r>
      <w:r w:rsidR="00C37216" w:rsidRPr="00C37216">
        <w:rPr>
          <w:color w:val="000000" w:themeColor="text1"/>
        </w:rPr>
        <w:t>1</w:t>
      </w:r>
      <w:r w:rsidR="000E2A6D">
        <w:rPr>
          <w:color w:val="000000" w:themeColor="text1"/>
        </w:rPr>
        <w:t>7</w:t>
      </w:r>
      <w:r w:rsidRPr="00C37216">
        <w:rPr>
          <w:color w:val="000000" w:themeColor="text1"/>
        </w:rPr>
        <w:t xml:space="preserve"> </w:t>
      </w:r>
      <w:r>
        <w:rPr>
          <w:color w:val="000000" w:themeColor="text1"/>
        </w:rPr>
        <w:t>viser først antallet gjennomførte emisjonsavtaler</w:t>
      </w:r>
      <w:r w:rsidR="00DF2681">
        <w:rPr>
          <w:color w:val="000000" w:themeColor="text1"/>
        </w:rPr>
        <w:t xml:space="preserve"> i de to geografiske områdene</w:t>
      </w:r>
      <w:r>
        <w:rPr>
          <w:color w:val="000000" w:themeColor="text1"/>
        </w:rPr>
        <w:t>, der søylediagrammet til venstre (t.v.) representerer hele Norge ekskludert Oslo og Akershus, mens diagrammet til høyre (t.h.) viser avtalene i kun Oslo og Akershus. D</w:t>
      </w:r>
      <w:r w:rsidRPr="000C3B17">
        <w:rPr>
          <w:color w:val="000000" w:themeColor="text1"/>
        </w:rPr>
        <w:t>iagrammet til venstre i figur</w:t>
      </w:r>
      <w:r>
        <w:rPr>
          <w:color w:val="000000" w:themeColor="text1"/>
        </w:rPr>
        <w:t>en</w:t>
      </w:r>
      <w:r w:rsidRPr="000C3B17">
        <w:rPr>
          <w:color w:val="000000" w:themeColor="text1"/>
        </w:rPr>
        <w:t xml:space="preserve"> markerer </w:t>
      </w:r>
      <w:r>
        <w:rPr>
          <w:color w:val="000000" w:themeColor="text1"/>
        </w:rPr>
        <w:t>at det i</w:t>
      </w:r>
      <w:r w:rsidRPr="000C3B17">
        <w:rPr>
          <w:color w:val="000000" w:themeColor="text1"/>
        </w:rPr>
        <w:t xml:space="preserve"> 2015 ble inngått flest emisjonsavtaler i Norge utenfor Oslo </w:t>
      </w:r>
      <w:r w:rsidRPr="000C3B17">
        <w:rPr>
          <w:rFonts w:eastAsia="Times New Roman"/>
          <w:color w:val="000000" w:themeColor="text1"/>
          <w:lang w:eastAsia="nb-NO"/>
        </w:rPr>
        <w:t>og Akershus</w:t>
      </w:r>
      <w:r w:rsidRPr="000C3B17">
        <w:rPr>
          <w:color w:val="000000" w:themeColor="text1"/>
        </w:rPr>
        <w:t xml:space="preserve"> i små bedrifter (størrelseskategori liten bedrift</w:t>
      </w:r>
      <w:r w:rsidR="00DF2681">
        <w:rPr>
          <w:color w:val="000000" w:themeColor="text1"/>
        </w:rPr>
        <w:t>, 1 116 avtaler</w:t>
      </w:r>
      <w:r w:rsidRPr="000C3B17">
        <w:rPr>
          <w:color w:val="000000" w:themeColor="text1"/>
        </w:rPr>
        <w:t>), mens mikro- og mellomstore bedrifter utenfor Oslo</w:t>
      </w:r>
      <w:r w:rsidRPr="000C3B17">
        <w:rPr>
          <w:rFonts w:eastAsia="Times New Roman"/>
          <w:color w:val="000000" w:themeColor="text1"/>
          <w:lang w:eastAsia="nb-NO"/>
        </w:rPr>
        <w:t xml:space="preserve"> og Akershus</w:t>
      </w:r>
      <w:r w:rsidRPr="000C3B17">
        <w:rPr>
          <w:color w:val="000000" w:themeColor="text1"/>
        </w:rPr>
        <w:t xml:space="preserve"> hentet egenkapital i henholdsvis 734 og 757 emisjonsavtaler. </w:t>
      </w:r>
    </w:p>
    <w:p w14:paraId="0C96AC4C" w14:textId="77777777" w:rsidR="00C37216" w:rsidRDefault="00C37216" w:rsidP="00AA61FD">
      <w:pPr>
        <w:jc w:val="both"/>
        <w:rPr>
          <w:color w:val="000000" w:themeColor="text1"/>
        </w:rPr>
      </w:pPr>
    </w:p>
    <w:p w14:paraId="656C70FA" w14:textId="5CCB3D1C" w:rsidR="00513257" w:rsidRDefault="00AA61FD" w:rsidP="00AA61FD">
      <w:pPr>
        <w:jc w:val="both"/>
        <w:rPr>
          <w:color w:val="000000" w:themeColor="text1"/>
        </w:rPr>
      </w:pPr>
      <w:r w:rsidRPr="000C3B17">
        <w:rPr>
          <w:color w:val="000000" w:themeColor="text1"/>
        </w:rPr>
        <w:t>For Oslo</w:t>
      </w:r>
      <w:r w:rsidRPr="000C3B17">
        <w:rPr>
          <w:rFonts w:eastAsia="Times New Roman"/>
          <w:color w:val="000000" w:themeColor="text1"/>
          <w:lang w:eastAsia="nb-NO"/>
        </w:rPr>
        <w:t xml:space="preserve"> og Akershus</w:t>
      </w:r>
      <w:r w:rsidRPr="000C3B17">
        <w:rPr>
          <w:color w:val="000000" w:themeColor="text1"/>
        </w:rPr>
        <w:t xml:space="preserve"> er imidlertid mønsteret et annet, demonstrert i diagrammet til høyre i figur </w:t>
      </w:r>
      <w:r w:rsidR="000E2A6D">
        <w:rPr>
          <w:color w:val="000000" w:themeColor="text1"/>
        </w:rPr>
        <w:t>17</w:t>
      </w:r>
      <w:r w:rsidRPr="000C3B17">
        <w:rPr>
          <w:color w:val="000000" w:themeColor="text1"/>
        </w:rPr>
        <w:t>. Her ser en at det ble inngått flest emisjonsavtaler i de store bedriftene i Oslo</w:t>
      </w:r>
      <w:r w:rsidRPr="000C3B17">
        <w:rPr>
          <w:rFonts w:eastAsia="Times New Roman"/>
          <w:color w:val="000000" w:themeColor="text1"/>
          <w:lang w:eastAsia="nb-NO"/>
        </w:rPr>
        <w:t xml:space="preserve"> og Akershus</w:t>
      </w:r>
      <w:r w:rsidRPr="000C3B17">
        <w:rPr>
          <w:color w:val="000000" w:themeColor="text1"/>
        </w:rPr>
        <w:t>, tilsvarende 446 avtaler i 2015. Det indikerer at store bedrifter</w:t>
      </w:r>
      <w:r w:rsidR="00DF2681">
        <w:rPr>
          <w:color w:val="000000" w:themeColor="text1"/>
        </w:rPr>
        <w:t>, lokalisert</w:t>
      </w:r>
      <w:r w:rsidRPr="000C3B17">
        <w:rPr>
          <w:color w:val="000000" w:themeColor="text1"/>
        </w:rPr>
        <w:t xml:space="preserve"> i</w:t>
      </w:r>
      <w:r w:rsidR="00DF2681">
        <w:rPr>
          <w:color w:val="000000" w:themeColor="text1"/>
        </w:rPr>
        <w:t xml:space="preserve"> og rundt</w:t>
      </w:r>
      <w:r w:rsidRPr="000C3B17">
        <w:rPr>
          <w:color w:val="000000" w:themeColor="text1"/>
        </w:rPr>
        <w:t xml:space="preserve"> hovedstaden med totale </w:t>
      </w:r>
      <w:r w:rsidR="00DF2681">
        <w:rPr>
          <w:color w:val="000000" w:themeColor="text1"/>
        </w:rPr>
        <w:t>bedrifts</w:t>
      </w:r>
      <w:r w:rsidRPr="000C3B17">
        <w:rPr>
          <w:color w:val="000000" w:themeColor="text1"/>
        </w:rPr>
        <w:t xml:space="preserve">eiendeler over </w:t>
      </w:r>
      <w:r w:rsidR="00DF2681">
        <w:rPr>
          <w:color w:val="000000" w:themeColor="text1"/>
        </w:rPr>
        <w:t xml:space="preserve">ca. </w:t>
      </w:r>
      <w:r w:rsidRPr="000C3B17">
        <w:rPr>
          <w:color w:val="000000" w:themeColor="text1"/>
        </w:rPr>
        <w:t>350 mill</w:t>
      </w:r>
      <w:r>
        <w:rPr>
          <w:color w:val="000000" w:themeColor="text1"/>
        </w:rPr>
        <w:t>. kroner</w:t>
      </w:r>
      <w:r w:rsidR="00DF2681">
        <w:rPr>
          <w:color w:val="000000" w:themeColor="text1"/>
        </w:rPr>
        <w:t>,</w:t>
      </w:r>
      <w:r>
        <w:rPr>
          <w:color w:val="000000" w:themeColor="text1"/>
        </w:rPr>
        <w:t xml:space="preserve"> tegnet flest</w:t>
      </w:r>
      <w:r w:rsidRPr="000C3B17">
        <w:rPr>
          <w:color w:val="000000" w:themeColor="text1"/>
        </w:rPr>
        <w:t xml:space="preserve"> emisjonsavtaler dette året</w:t>
      </w:r>
      <w:r>
        <w:rPr>
          <w:color w:val="000000" w:themeColor="text1"/>
        </w:rPr>
        <w:t xml:space="preserve">. Begge diagram i figur </w:t>
      </w:r>
      <w:r w:rsidR="000E2A6D">
        <w:rPr>
          <w:color w:val="000000" w:themeColor="text1"/>
        </w:rPr>
        <w:t>17</w:t>
      </w:r>
      <w:r>
        <w:rPr>
          <w:color w:val="000000" w:themeColor="text1"/>
        </w:rPr>
        <w:t xml:space="preserve"> demonstrerer at SMB-bedriftene står for størsteparten av emisjonene i hele Norge. Oversikten for Norge ekskludert Oslo og Akershus viser at disse henter egenkapital for å vokse også utenfor de sentrumsnære områdene, og forsterker bildet om at kapitaltilgang til disse er svært viktig for å bidra til</w:t>
      </w:r>
      <w:r w:rsidR="00096F71">
        <w:rPr>
          <w:color w:val="000000" w:themeColor="text1"/>
        </w:rPr>
        <w:t xml:space="preserve"> etablering,</w:t>
      </w:r>
      <w:r>
        <w:rPr>
          <w:color w:val="000000" w:themeColor="text1"/>
        </w:rPr>
        <w:t xml:space="preserve"> vekst og verdiskaping i alle </w:t>
      </w:r>
      <w:r w:rsidR="00096F71">
        <w:rPr>
          <w:color w:val="000000" w:themeColor="text1"/>
        </w:rPr>
        <w:t xml:space="preserve">norske </w:t>
      </w:r>
      <w:r>
        <w:rPr>
          <w:color w:val="000000" w:themeColor="text1"/>
        </w:rPr>
        <w:t>lokalsamfunn.</w:t>
      </w:r>
    </w:p>
    <w:p w14:paraId="35FF0F77" w14:textId="0C372108" w:rsidR="00AA61FD" w:rsidRPr="00A07120" w:rsidRDefault="00AA61FD" w:rsidP="00AA61FD">
      <w:pPr>
        <w:jc w:val="both"/>
        <w:rPr>
          <w:color w:val="000000" w:themeColor="text1"/>
          <w:sz w:val="20"/>
        </w:rPr>
      </w:pPr>
    </w:p>
    <w:p w14:paraId="15010D9E" w14:textId="7DF5A74B" w:rsidR="00AA61FD" w:rsidRDefault="00DB5CB7" w:rsidP="00AA61FD">
      <w:pPr>
        <w:pStyle w:val="Bildetekst"/>
        <w:keepNext/>
      </w:pPr>
      <w:r>
        <w:rPr>
          <w:noProof/>
          <w:lang w:eastAsia="nb-NO"/>
        </w:rPr>
        <w:lastRenderedPageBreak/>
        <mc:AlternateContent>
          <mc:Choice Requires="wps">
            <w:drawing>
              <wp:anchor distT="45720" distB="45720" distL="114300" distR="114300" simplePos="0" relativeHeight="251664384" behindDoc="0" locked="0" layoutInCell="1" allowOverlap="1" wp14:anchorId="23C7C1B5" wp14:editId="72939204">
                <wp:simplePos x="0" y="0"/>
                <wp:positionH relativeFrom="margin">
                  <wp:align>left</wp:align>
                </wp:positionH>
                <wp:positionV relativeFrom="paragraph">
                  <wp:posOffset>224155</wp:posOffset>
                </wp:positionV>
                <wp:extent cx="5657850" cy="1404620"/>
                <wp:effectExtent l="0" t="0" r="1905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61608AE4" w14:textId="3BCF7F2A" w:rsidR="00DB5CB7" w:rsidRDefault="00DB5CB7" w:rsidP="00DB5CB7">
                            <w:pPr>
                              <w:ind w:firstLine="708"/>
                            </w:pPr>
                            <w:r>
                              <w:t xml:space="preserve">Norge (eks Oslo og Akershus) </w:t>
                            </w:r>
                            <w:r>
                              <w:tab/>
                            </w:r>
                            <w:r>
                              <w:tab/>
                            </w:r>
                            <w:r>
                              <w:tab/>
                              <w:t>Oslo og Akershus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C7C1B5" id="_x0000_t202" coordsize="21600,21600" o:spt="202" path="m,l,21600r21600,l21600,xe">
                <v:stroke joinstyle="miter"/>
                <v:path gradientshapeok="t" o:connecttype="rect"/>
              </v:shapetype>
              <v:shape id="Text Box 2" o:spid="_x0000_s1026" type="#_x0000_t202" style="position:absolute;margin-left:0;margin-top:17.65pt;width:445.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">
                <v:textbox style="mso-fit-shape-to-text:t">
                  <w:txbxContent>
                    <w:p w14:paraId="61608AE4" w14:textId="3BCF7F2A" w:rsidR="00DB5CB7" w:rsidRDefault="00DB5CB7" w:rsidP="00DB5CB7">
                      <w:pPr>
                        <w:ind w:firstLine="708"/>
                      </w:pPr>
                      <w:r>
                        <w:t xml:space="preserve">Norge (eks Oslo og </w:t>
                      </w:r>
                      <w:r>
                        <w:t>A</w:t>
                      </w:r>
                      <w:r>
                        <w:t xml:space="preserve">kershus) </w:t>
                      </w:r>
                      <w:r>
                        <w:tab/>
                      </w:r>
                      <w:r>
                        <w:tab/>
                      </w:r>
                      <w:r>
                        <w:tab/>
                        <w:t>Oslo og Akershus</w:t>
                      </w:r>
                    </w:p>
                  </w:txbxContent>
                </v:textbox>
                <w10:wrap type="square" anchorx="margin"/>
              </v:shape>
            </w:pict>
          </mc:Fallback>
        </mc:AlternateContent>
      </w:r>
      <w:r w:rsidR="00AA61FD">
        <w:t xml:space="preserve">Figur </w:t>
      </w:r>
      <w:r w:rsidR="009A6A52">
        <w:fldChar w:fldCharType="begin"/>
      </w:r>
      <w:r w:rsidR="009A6A52">
        <w:instrText xml:space="preserve"> SEQ Figur \* ARABIC </w:instrText>
      </w:r>
      <w:r w:rsidR="009A6A52">
        <w:fldChar w:fldCharType="separate"/>
      </w:r>
      <w:r w:rsidR="00C37216">
        <w:rPr>
          <w:noProof/>
        </w:rPr>
        <w:t>17</w:t>
      </w:r>
      <w:r w:rsidR="009A6A52">
        <w:rPr>
          <w:noProof/>
        </w:rPr>
        <w:fldChar w:fldCharType="end"/>
      </w:r>
      <w:r w:rsidR="00AA61FD">
        <w:t xml:space="preserve">: </w:t>
      </w:r>
      <w:r w:rsidR="00AA61FD" w:rsidRPr="00470E3D">
        <w:t>Antall emisjonsavtaler</w:t>
      </w:r>
      <w:r>
        <w:t>.</w:t>
      </w:r>
      <w:r w:rsidR="00AA61FD" w:rsidRPr="00470E3D">
        <w:t xml:space="preserve"> Inndelt etter bedriftsstørrelse (</w:t>
      </w:r>
      <w:r>
        <w:t xml:space="preserve">ved </w:t>
      </w:r>
      <w:r w:rsidR="00AA61FD" w:rsidRPr="00470E3D">
        <w:t>eiendeler)</w:t>
      </w:r>
      <w:r>
        <w:t xml:space="preserve"> og geografi</w:t>
      </w:r>
      <w:r w:rsidR="00AA61FD" w:rsidRPr="00470E3D">
        <w:t>.</w:t>
      </w:r>
      <w:r>
        <w:t xml:space="preserve"> 2015</w:t>
      </w:r>
    </w:p>
    <w:p w14:paraId="64742184" w14:textId="3F9F381A" w:rsidR="00AA61FD" w:rsidRDefault="00AA61FD" w:rsidP="00AA61FD">
      <w:r>
        <w:rPr>
          <w:noProof/>
        </w:rPr>
        <w:drawing>
          <wp:inline distT="0" distB="0" distL="0" distR="0" wp14:anchorId="42D357E6" wp14:editId="73E50485">
            <wp:extent cx="2843530" cy="3420000"/>
            <wp:effectExtent l="0" t="0" r="13970" b="9525"/>
            <wp:docPr id="19" name="Diagram 19">
              <a:extLst xmlns:a="http://schemas.openxmlformats.org/drawingml/2006/main">
                <a:ext uri="{FF2B5EF4-FFF2-40B4-BE49-F238E27FC236}">
                  <a16:creationId xmlns:a16="http://schemas.microsoft.com/office/drawing/2014/main" id="{991C7667-33D6-483F-A6DD-07EBFBAA7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rPr>
        <w:drawing>
          <wp:inline distT="0" distB="0" distL="0" distR="0" wp14:anchorId="68D8D7BC" wp14:editId="72C29B0B">
            <wp:extent cx="2844000" cy="3420000"/>
            <wp:effectExtent l="0" t="0" r="13970" b="9525"/>
            <wp:docPr id="21" name="Diagram 21">
              <a:extLst xmlns:a="http://schemas.openxmlformats.org/drawingml/2006/main">
                <a:ext uri="{FF2B5EF4-FFF2-40B4-BE49-F238E27FC236}">
                  <a16:creationId xmlns:a16="http://schemas.microsoft.com/office/drawing/2014/main" id="{AA0DB721-40B9-4EDE-9F6A-7DB031833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B07434">
        <w:rPr>
          <w:noProof/>
        </w:rPr>
        <w:t xml:space="preserve"> </w:t>
      </w:r>
    </w:p>
    <w:p w14:paraId="5636AADB" w14:textId="77777777" w:rsidR="00AA61FD" w:rsidRDefault="00AA61FD" w:rsidP="00AA61FD">
      <w:pPr>
        <w:rPr>
          <w:rStyle w:val="Svakreferanse"/>
        </w:rPr>
      </w:pPr>
      <w:r w:rsidRPr="00EA613E">
        <w:rPr>
          <w:rStyle w:val="Svakreferanse"/>
        </w:rPr>
        <w:t>Kilde: BI v/ prof. Amir Sasson | NyAnalyse</w:t>
      </w:r>
      <w:r>
        <w:rPr>
          <w:rStyle w:val="Svakreferanse"/>
        </w:rPr>
        <w:br/>
      </w:r>
    </w:p>
    <w:p w14:paraId="7A00E3AC" w14:textId="3600E579" w:rsidR="00C37216" w:rsidRDefault="00AA61FD" w:rsidP="00AA61FD">
      <w:pPr>
        <w:jc w:val="both"/>
        <w:rPr>
          <w:color w:val="000000" w:themeColor="text1"/>
        </w:rPr>
      </w:pPr>
      <w:r w:rsidRPr="00C37216">
        <w:rPr>
          <w:color w:val="000000" w:themeColor="text1"/>
        </w:rPr>
        <w:t xml:space="preserve">Figur </w:t>
      </w:r>
      <w:r w:rsidR="00C37216" w:rsidRPr="00C37216">
        <w:rPr>
          <w:color w:val="000000" w:themeColor="text1"/>
        </w:rPr>
        <w:t>18</w:t>
      </w:r>
      <w:r w:rsidRPr="00C37216">
        <w:rPr>
          <w:color w:val="000000" w:themeColor="text1"/>
        </w:rPr>
        <w:t xml:space="preserve"> og </w:t>
      </w:r>
      <w:r w:rsidR="00C37216" w:rsidRPr="00C37216">
        <w:rPr>
          <w:color w:val="000000" w:themeColor="text1"/>
        </w:rPr>
        <w:t>19</w:t>
      </w:r>
      <w:r w:rsidRPr="00C37216">
        <w:rPr>
          <w:color w:val="000000" w:themeColor="text1"/>
        </w:rPr>
        <w:t xml:space="preserve"> </w:t>
      </w:r>
      <w:r w:rsidRPr="000C3B17">
        <w:rPr>
          <w:color w:val="000000" w:themeColor="text1"/>
        </w:rPr>
        <w:t>fordeler igjen emisjonsvolumet mellom norsk privat, statlig og utenlandsk egenkapital</w:t>
      </w:r>
      <w:r>
        <w:rPr>
          <w:color w:val="000000" w:themeColor="text1"/>
        </w:rPr>
        <w:t xml:space="preserve"> i de ulike størrelseskategoriene</w:t>
      </w:r>
      <w:r w:rsidRPr="000C3B17">
        <w:rPr>
          <w:color w:val="000000" w:themeColor="text1"/>
        </w:rPr>
        <w:t xml:space="preserve">, </w:t>
      </w:r>
      <w:r>
        <w:rPr>
          <w:color w:val="000000" w:themeColor="text1"/>
        </w:rPr>
        <w:t>der figur</w:t>
      </w:r>
      <w:r w:rsidRPr="000C3B17">
        <w:rPr>
          <w:color w:val="000000" w:themeColor="text1"/>
        </w:rPr>
        <w:t xml:space="preserve"> </w:t>
      </w:r>
      <w:r w:rsidR="000E2A6D">
        <w:rPr>
          <w:color w:val="000000" w:themeColor="text1"/>
        </w:rPr>
        <w:t>18</w:t>
      </w:r>
      <w:r>
        <w:rPr>
          <w:color w:val="000000" w:themeColor="text1"/>
        </w:rPr>
        <w:t xml:space="preserve"> viser volumet</w:t>
      </w:r>
      <w:r w:rsidRPr="000C3B17">
        <w:rPr>
          <w:color w:val="000000" w:themeColor="text1"/>
        </w:rPr>
        <w:t xml:space="preserve"> </w:t>
      </w:r>
      <w:r>
        <w:rPr>
          <w:color w:val="000000" w:themeColor="text1"/>
        </w:rPr>
        <w:t>i</w:t>
      </w:r>
      <w:r w:rsidRPr="000C3B17">
        <w:rPr>
          <w:color w:val="000000" w:themeColor="text1"/>
        </w:rPr>
        <w:t xml:space="preserve"> </w:t>
      </w:r>
      <w:r>
        <w:rPr>
          <w:color w:val="000000" w:themeColor="text1"/>
        </w:rPr>
        <w:t>Norge ekskludert</w:t>
      </w:r>
      <w:r w:rsidRPr="000C3B17">
        <w:rPr>
          <w:color w:val="000000" w:themeColor="text1"/>
        </w:rPr>
        <w:t xml:space="preserve"> Oslo</w:t>
      </w:r>
      <w:r w:rsidRPr="000C3B17">
        <w:rPr>
          <w:rFonts w:eastAsia="Times New Roman"/>
          <w:color w:val="000000" w:themeColor="text1"/>
          <w:lang w:eastAsia="nb-NO"/>
        </w:rPr>
        <w:t xml:space="preserve"> og Akershu</w:t>
      </w:r>
      <w:r>
        <w:rPr>
          <w:rFonts w:eastAsia="Times New Roman"/>
          <w:color w:val="000000" w:themeColor="text1"/>
          <w:lang w:eastAsia="nb-NO"/>
        </w:rPr>
        <w:t xml:space="preserve">s, mens figur </w:t>
      </w:r>
      <w:r w:rsidR="000E2A6D">
        <w:rPr>
          <w:rFonts w:eastAsia="Times New Roman"/>
          <w:color w:val="000000" w:themeColor="text1"/>
          <w:lang w:eastAsia="nb-NO"/>
        </w:rPr>
        <w:t>19</w:t>
      </w:r>
      <w:r>
        <w:rPr>
          <w:rFonts w:eastAsia="Times New Roman"/>
          <w:color w:val="000000" w:themeColor="text1"/>
          <w:lang w:eastAsia="nb-NO"/>
        </w:rPr>
        <w:t xml:space="preserve"> viser emisjonsvolumet i kun Oslo og Akershus.</w:t>
      </w:r>
      <w:r>
        <w:rPr>
          <w:color w:val="000000" w:themeColor="text1"/>
        </w:rPr>
        <w:t xml:space="preserve"> </w:t>
      </w:r>
      <w:r w:rsidR="00B52E26">
        <w:rPr>
          <w:color w:val="000000" w:themeColor="text1"/>
        </w:rPr>
        <w:t>Overordnet</w:t>
      </w:r>
      <w:r>
        <w:rPr>
          <w:color w:val="000000" w:themeColor="text1"/>
        </w:rPr>
        <w:t xml:space="preserve"> ser</w:t>
      </w:r>
      <w:r w:rsidR="00B52E26">
        <w:rPr>
          <w:color w:val="000000" w:themeColor="text1"/>
        </w:rPr>
        <w:t xml:space="preserve"> man</w:t>
      </w:r>
      <w:r>
        <w:rPr>
          <w:color w:val="000000" w:themeColor="text1"/>
        </w:rPr>
        <w:t xml:space="preserve"> av de to figurene at det befinner seg et større emisjonsvolum blant SMB-bedriftene utenfor Oslo og Akershus. </w:t>
      </w:r>
    </w:p>
    <w:p w14:paraId="058641BF" w14:textId="77777777" w:rsidR="00C37216" w:rsidRDefault="00C37216" w:rsidP="00AA61FD">
      <w:pPr>
        <w:jc w:val="both"/>
        <w:rPr>
          <w:color w:val="000000" w:themeColor="text1"/>
        </w:rPr>
      </w:pPr>
    </w:p>
    <w:p w14:paraId="6A6A8754" w14:textId="0F2B2710" w:rsidR="00513257" w:rsidRDefault="00AA61FD" w:rsidP="00AA61FD">
      <w:pPr>
        <w:jc w:val="both"/>
        <w:rPr>
          <w:color w:val="000000" w:themeColor="text1"/>
        </w:rPr>
      </w:pPr>
      <w:r>
        <w:rPr>
          <w:color w:val="000000" w:themeColor="text1"/>
        </w:rPr>
        <w:t xml:space="preserve">Figur </w:t>
      </w:r>
      <w:r w:rsidR="00C37216">
        <w:rPr>
          <w:color w:val="000000" w:themeColor="text1"/>
        </w:rPr>
        <w:t>18</w:t>
      </w:r>
      <w:r>
        <w:rPr>
          <w:color w:val="000000" w:themeColor="text1"/>
        </w:rPr>
        <w:t xml:space="preserve"> illustrerer først fordelingen i Norge ekskludert Oslo og Akershus, der de høyeste volume</w:t>
      </w:r>
      <w:r w:rsidR="00B52E26">
        <w:rPr>
          <w:color w:val="000000" w:themeColor="text1"/>
        </w:rPr>
        <w:t>ne</w:t>
      </w:r>
      <w:r>
        <w:rPr>
          <w:color w:val="000000" w:themeColor="text1"/>
        </w:rPr>
        <w:t xml:space="preserve"> ikke overraskende befant seg i de store bedriftene</w:t>
      </w:r>
      <w:r w:rsidR="000C0902">
        <w:rPr>
          <w:color w:val="000000" w:themeColor="text1"/>
        </w:rPr>
        <w:t>.</w:t>
      </w:r>
      <w:r>
        <w:rPr>
          <w:color w:val="000000" w:themeColor="text1"/>
        </w:rPr>
        <w:t xml:space="preserve"> </w:t>
      </w:r>
      <w:r w:rsidR="000C0902">
        <w:rPr>
          <w:color w:val="000000" w:themeColor="text1"/>
        </w:rPr>
        <w:t xml:space="preserve">Volummessig var kun 20 mill. kroner av emisjonskapitalen i mikrobedrifter utenlandsk, omtrent 96 mill. var utenlandsk i små bedrifter, mens 462 mill. var utenlandsk i mellomstore bedrifter dette året. Til sammenligning utgjorde norsk privat egenkapital 470 mill. kroner i mikrobedrifter, 1,45 mrd. i små bedrifter, og 2,7 mrd. kroner i mellomstore bedrifter. Dette understreker at majoriteten (fra 83 til 94 </w:t>
      </w:r>
      <w:r w:rsidR="00BC0E64">
        <w:rPr>
          <w:rFonts w:eastAsia="Times New Roman"/>
          <w:lang w:eastAsia="nb-NO"/>
        </w:rPr>
        <w:t>prosent</w:t>
      </w:r>
      <w:r w:rsidR="000C0902">
        <w:rPr>
          <w:color w:val="000000" w:themeColor="text1"/>
        </w:rPr>
        <w:t>) av egenkapitalen i norske SMB-bedrifter (mikro, liten og mellomstor</w:t>
      </w:r>
      <w:r w:rsidR="00505CA3">
        <w:rPr>
          <w:color w:val="000000" w:themeColor="text1"/>
        </w:rPr>
        <w:t xml:space="preserve"> bedrift</w:t>
      </w:r>
      <w:r w:rsidR="000C0902">
        <w:rPr>
          <w:color w:val="000000" w:themeColor="text1"/>
        </w:rPr>
        <w:t xml:space="preserve">) </w:t>
      </w:r>
      <w:r w:rsidR="00BC0E64">
        <w:rPr>
          <w:color w:val="000000" w:themeColor="text1"/>
        </w:rPr>
        <w:t>ble stilt av</w:t>
      </w:r>
      <w:r w:rsidR="000C0902">
        <w:rPr>
          <w:color w:val="000000" w:themeColor="text1"/>
        </w:rPr>
        <w:t xml:space="preserve"> norsk privat </w:t>
      </w:r>
      <w:r w:rsidR="00BC0E64">
        <w:rPr>
          <w:color w:val="000000" w:themeColor="text1"/>
        </w:rPr>
        <w:t xml:space="preserve">kapital </w:t>
      </w:r>
      <w:r w:rsidR="000C0902">
        <w:rPr>
          <w:color w:val="000000" w:themeColor="text1"/>
        </w:rPr>
        <w:t>i 2015.</w:t>
      </w:r>
    </w:p>
    <w:p w14:paraId="299C5E36" w14:textId="1D145A18" w:rsidR="00AA61FD" w:rsidRDefault="00AA61FD" w:rsidP="00AA61FD">
      <w:pPr>
        <w:pStyle w:val="Bildetekst"/>
        <w:keepNext/>
      </w:pPr>
      <w:r>
        <w:lastRenderedPageBreak/>
        <w:t xml:space="preserve">Figur </w:t>
      </w:r>
      <w:r w:rsidR="009A6A52">
        <w:fldChar w:fldCharType="begin"/>
      </w:r>
      <w:r w:rsidR="009A6A52">
        <w:instrText xml:space="preserve"> SEQ Figur \* ARABIC </w:instrText>
      </w:r>
      <w:r w:rsidR="009A6A52">
        <w:fldChar w:fldCharType="separate"/>
      </w:r>
      <w:r w:rsidR="00C37216">
        <w:rPr>
          <w:noProof/>
        </w:rPr>
        <w:t>18</w:t>
      </w:r>
      <w:r w:rsidR="009A6A52">
        <w:rPr>
          <w:noProof/>
        </w:rPr>
        <w:fldChar w:fldCharType="end"/>
      </w:r>
      <w:r>
        <w:t>: E</w:t>
      </w:r>
      <w:r w:rsidRPr="00A563E6">
        <w:t>misjonsvolum</w:t>
      </w:r>
      <w:r>
        <w:t xml:space="preserve"> (t.v.) og prosentvis fordeling av emisjonsvolum (t.h.)</w:t>
      </w:r>
      <w:r w:rsidRPr="00A563E6">
        <w:t xml:space="preserve"> i Norge ekskludert Oslo og Akershus, 2015. Inndelt etter bedriftsstørrelse (eiendeler) og </w:t>
      </w:r>
      <w:r>
        <w:t>kapitalkilde</w:t>
      </w:r>
      <w:r w:rsidRPr="00A563E6">
        <w:t>. Volum i milliarder</w:t>
      </w:r>
      <w:r>
        <w:t xml:space="preserve"> og kapitalandeler i prosent.</w:t>
      </w:r>
    </w:p>
    <w:p w14:paraId="6ED711D6" w14:textId="3CFEFBF2" w:rsidR="00AA61FD" w:rsidRDefault="00AA61FD" w:rsidP="00AA61FD">
      <w:r w:rsidRPr="004C555F">
        <w:rPr>
          <w:noProof/>
        </w:rPr>
        <w:drawing>
          <wp:inline distT="0" distB="0" distL="0" distR="0" wp14:anchorId="627CE603" wp14:editId="2B623A85">
            <wp:extent cx="2844000" cy="4860000"/>
            <wp:effectExtent l="0" t="0" r="13970" b="17145"/>
            <wp:docPr id="5" name="Diagram 5">
              <a:extLst xmlns:a="http://schemas.openxmlformats.org/drawingml/2006/main">
                <a:ext uri="{FF2B5EF4-FFF2-40B4-BE49-F238E27FC236}">
                  <a16:creationId xmlns:a16="http://schemas.microsoft.com/office/drawing/2014/main" id="{C3962440-B99E-4C3C-9EA2-8E97B99C9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8633DE">
        <w:rPr>
          <w:noProof/>
        </w:rPr>
        <w:drawing>
          <wp:inline distT="0" distB="0" distL="0" distR="0" wp14:anchorId="112514D8" wp14:editId="726BC566">
            <wp:extent cx="2844000" cy="4860000"/>
            <wp:effectExtent l="0" t="0" r="13970" b="17145"/>
            <wp:docPr id="9" name="Diagram 9">
              <a:extLst xmlns:a="http://schemas.openxmlformats.org/drawingml/2006/main">
                <a:ext uri="{FF2B5EF4-FFF2-40B4-BE49-F238E27FC236}">
                  <a16:creationId xmlns:a16="http://schemas.microsoft.com/office/drawing/2014/main" id="{B79F4AEA-4CD8-4407-9928-027C048091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6B6591">
        <w:rPr>
          <w:noProof/>
        </w:rPr>
        <w:t xml:space="preserve"> </w:t>
      </w:r>
      <w:r>
        <w:rPr>
          <w:noProof/>
        </w:rPr>
        <w:br/>
      </w:r>
      <w:r w:rsidRPr="00EA613E">
        <w:rPr>
          <w:rStyle w:val="Svakreferanse"/>
        </w:rPr>
        <w:t>Kilde: BI v/ prof. Amir Sasson | NyAnalyse</w:t>
      </w:r>
    </w:p>
    <w:p w14:paraId="2B8B4714" w14:textId="77777777" w:rsidR="00513257" w:rsidRDefault="00513257" w:rsidP="00AA61FD">
      <w:pPr>
        <w:jc w:val="both"/>
      </w:pPr>
    </w:p>
    <w:p w14:paraId="0B7DF021" w14:textId="6A1F68F5" w:rsidR="00945B0D" w:rsidRDefault="00AA61FD" w:rsidP="00AA61FD">
      <w:pPr>
        <w:jc w:val="both"/>
      </w:pPr>
      <w:r>
        <w:t>Figur</w:t>
      </w:r>
      <w:r w:rsidR="00C37216">
        <w:t xml:space="preserve"> 19</w:t>
      </w:r>
      <w:r w:rsidRPr="00513257">
        <w:rPr>
          <w:color w:val="FF0000"/>
        </w:rPr>
        <w:t xml:space="preserve"> </w:t>
      </w:r>
      <w:r>
        <w:t>demonstrerer fordelingen av emisjonsvolum i Oslo og Akershus</w:t>
      </w:r>
      <w:r w:rsidR="00F224A6">
        <w:t xml:space="preserve"> i 2015</w:t>
      </w:r>
      <w:r>
        <w:t>. Her ser</w:t>
      </w:r>
      <w:r w:rsidR="00C37216">
        <w:t xml:space="preserve"> man</w:t>
      </w:r>
      <w:r>
        <w:t>, til venstre i figuren, at volumene er lavere for SMB-bedriftene sammenlignet med resten av Norge (</w:t>
      </w:r>
      <w:r w:rsidR="00F224A6">
        <w:t xml:space="preserve">diagram </w:t>
      </w:r>
      <w:r>
        <w:t>t.v. i figur 6).</w:t>
      </w:r>
      <w:r w:rsidR="00F224A6">
        <w:t xml:space="preserve"> I Oslo og Akershus befant det utenlandske emisjonsvolumet seg på 17 mill. kroner i mikrobedrifter, 91 mill. kroner i små bedrifter og 564 mill. kroner i mellomstore bedrifter. Det norsk private emisjonsvolumet utgjorde ca. 200 mill. kroner i mikrobedriftene, 5</w:t>
      </w:r>
      <w:r w:rsidR="00BC0E64">
        <w:t>70</w:t>
      </w:r>
      <w:r w:rsidR="00F224A6">
        <w:t xml:space="preserve"> mill. </w:t>
      </w:r>
      <w:r w:rsidR="00BC0E64">
        <w:t xml:space="preserve">kroner </w:t>
      </w:r>
      <w:r w:rsidR="00F224A6">
        <w:t xml:space="preserve">i de små bedriftene og 1,64 mrd. kroner i de mellomstore bedriftene. </w:t>
      </w:r>
      <w:r>
        <w:t xml:space="preserve"> Videre ser en av figuren at hovedparten av emisjonene</w:t>
      </w:r>
      <w:r w:rsidR="00F224A6">
        <w:t xml:space="preserve"> (fra 72 til 92 </w:t>
      </w:r>
      <w:r w:rsidR="00BC0E64">
        <w:rPr>
          <w:rFonts w:eastAsia="Times New Roman"/>
          <w:lang w:eastAsia="nb-NO"/>
        </w:rPr>
        <w:t>prosent</w:t>
      </w:r>
      <w:r w:rsidR="00F224A6">
        <w:t>)</w:t>
      </w:r>
      <w:r>
        <w:t xml:space="preserve"> også her er finansiert ved hjelp av norsk privat </w:t>
      </w:r>
      <w:r w:rsidR="00F224A6">
        <w:t>egen</w:t>
      </w:r>
      <w:r>
        <w:t>kapital (diagram t.h.).</w:t>
      </w:r>
    </w:p>
    <w:p w14:paraId="4BD41EE0" w14:textId="7971E007" w:rsidR="00AA61FD" w:rsidRDefault="00AA61FD" w:rsidP="00AA61FD">
      <w:pPr>
        <w:jc w:val="both"/>
      </w:pPr>
    </w:p>
    <w:p w14:paraId="23B15304" w14:textId="654F3A90" w:rsidR="00AA61FD" w:rsidRDefault="00AA61FD" w:rsidP="00AA61FD">
      <w:pPr>
        <w:pStyle w:val="Bildetekst"/>
        <w:keepNext/>
      </w:pPr>
      <w:r>
        <w:lastRenderedPageBreak/>
        <w:t xml:space="preserve">Figur </w:t>
      </w:r>
      <w:r w:rsidR="009A6A52">
        <w:fldChar w:fldCharType="begin"/>
      </w:r>
      <w:r w:rsidR="009A6A52">
        <w:instrText xml:space="preserve"> SEQ </w:instrText>
      </w:r>
      <w:r w:rsidR="009A6A52">
        <w:instrText xml:space="preserve">Figur \* ARABIC </w:instrText>
      </w:r>
      <w:r w:rsidR="009A6A52">
        <w:fldChar w:fldCharType="separate"/>
      </w:r>
      <w:r w:rsidR="00C37216">
        <w:rPr>
          <w:noProof/>
        </w:rPr>
        <w:t>19</w:t>
      </w:r>
      <w:r w:rsidR="009A6A52">
        <w:rPr>
          <w:noProof/>
        </w:rPr>
        <w:fldChar w:fldCharType="end"/>
      </w:r>
      <w:r>
        <w:t>: E</w:t>
      </w:r>
      <w:r w:rsidRPr="00A563E6">
        <w:t>misjonsvolum</w:t>
      </w:r>
      <w:r>
        <w:t xml:space="preserve"> (t.v.) og prosentvis fordeling av emisjonsvolum (t.h.)</w:t>
      </w:r>
      <w:r w:rsidRPr="00A563E6">
        <w:t xml:space="preserve"> </w:t>
      </w:r>
      <w:r w:rsidRPr="007B1BD0">
        <w:t xml:space="preserve">i Oslo og Akershus, 2015. Inndelt etter bedriftsstørrelse (eiendeler) og </w:t>
      </w:r>
      <w:r>
        <w:t>kapitalkilde</w:t>
      </w:r>
      <w:r w:rsidRPr="007B1BD0">
        <w:t>. Volum i milliarder</w:t>
      </w:r>
      <w:r>
        <w:t xml:space="preserve"> og kapitalandeler i prosent.</w:t>
      </w:r>
    </w:p>
    <w:p w14:paraId="64CA798C" w14:textId="77777777" w:rsidR="00AA61FD" w:rsidRDefault="00AA61FD" w:rsidP="00AA61FD">
      <w:r w:rsidRPr="004C555F">
        <w:rPr>
          <w:noProof/>
        </w:rPr>
        <w:drawing>
          <wp:inline distT="0" distB="0" distL="0" distR="0" wp14:anchorId="6F471BF1" wp14:editId="3ED32BA5">
            <wp:extent cx="2843530" cy="4490720"/>
            <wp:effectExtent l="0" t="0" r="13970" b="5080"/>
            <wp:docPr id="22" name="Diagram 22">
              <a:extLst xmlns:a="http://schemas.openxmlformats.org/drawingml/2006/main">
                <a:ext uri="{FF2B5EF4-FFF2-40B4-BE49-F238E27FC236}">
                  <a16:creationId xmlns:a16="http://schemas.microsoft.com/office/drawing/2014/main" id="{14220BD4-61BB-40B9-927D-32586B734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8633DE">
        <w:rPr>
          <w:noProof/>
        </w:rPr>
        <w:drawing>
          <wp:inline distT="0" distB="0" distL="0" distR="0" wp14:anchorId="4843832C" wp14:editId="2B80C607">
            <wp:extent cx="2843530" cy="4495800"/>
            <wp:effectExtent l="0" t="0" r="13970" b="0"/>
            <wp:docPr id="23" name="Diagram 23">
              <a:extLst xmlns:a="http://schemas.openxmlformats.org/drawingml/2006/main">
                <a:ext uri="{FF2B5EF4-FFF2-40B4-BE49-F238E27FC236}">
                  <a16:creationId xmlns:a16="http://schemas.microsoft.com/office/drawing/2014/main" id="{AD70C4F8-DF2C-43D2-886C-2A71EA9FE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B07434">
        <w:rPr>
          <w:noProof/>
        </w:rPr>
        <w:t xml:space="preserve"> </w:t>
      </w:r>
    </w:p>
    <w:p w14:paraId="46A5D96F" w14:textId="77777777" w:rsidR="00AA61FD" w:rsidRDefault="00AA61FD" w:rsidP="00AA61FD">
      <w:r w:rsidRPr="00EA613E">
        <w:rPr>
          <w:rStyle w:val="Svakreferanse"/>
        </w:rPr>
        <w:t>Kilde: BI v/ prof. Amir Sasson | NyAnalyse</w:t>
      </w:r>
    </w:p>
    <w:p w14:paraId="63934E8A" w14:textId="542D0536" w:rsidR="00AA61FD" w:rsidRPr="00321ED5" w:rsidRDefault="00AA61FD" w:rsidP="00AA61FD">
      <w:pPr>
        <w:jc w:val="both"/>
        <w:rPr>
          <w:rStyle w:val="Svakreferanse"/>
          <w:sz w:val="21"/>
          <w:szCs w:val="21"/>
        </w:rPr>
      </w:pPr>
      <w:r>
        <w:br/>
      </w:r>
      <w:r w:rsidRPr="00321ED5">
        <w:rPr>
          <w:rStyle w:val="Svakreferanse"/>
          <w:sz w:val="21"/>
          <w:szCs w:val="21"/>
        </w:rPr>
        <w:t xml:space="preserve">Ved å </w:t>
      </w:r>
      <w:r w:rsidRPr="00C37216">
        <w:rPr>
          <w:rStyle w:val="Svakreferanse"/>
          <w:color w:val="000000" w:themeColor="text1"/>
          <w:sz w:val="21"/>
          <w:szCs w:val="21"/>
        </w:rPr>
        <w:t xml:space="preserve">sammenligne figur </w:t>
      </w:r>
      <w:r w:rsidR="00C37216" w:rsidRPr="00C37216">
        <w:rPr>
          <w:rStyle w:val="Svakreferanse"/>
          <w:color w:val="000000" w:themeColor="text1"/>
          <w:sz w:val="21"/>
          <w:szCs w:val="21"/>
        </w:rPr>
        <w:t>18</w:t>
      </w:r>
      <w:r w:rsidRPr="00C37216">
        <w:rPr>
          <w:rStyle w:val="Svakreferanse"/>
          <w:color w:val="000000" w:themeColor="text1"/>
          <w:sz w:val="21"/>
          <w:szCs w:val="21"/>
        </w:rPr>
        <w:t xml:space="preserve"> og </w:t>
      </w:r>
      <w:r w:rsidR="00C37216" w:rsidRPr="00C37216">
        <w:rPr>
          <w:rStyle w:val="Svakreferanse"/>
          <w:color w:val="000000" w:themeColor="text1"/>
          <w:sz w:val="21"/>
          <w:szCs w:val="21"/>
        </w:rPr>
        <w:t>19</w:t>
      </w:r>
      <w:r w:rsidRPr="00C37216">
        <w:rPr>
          <w:rStyle w:val="Svakreferanse"/>
          <w:color w:val="000000" w:themeColor="text1"/>
          <w:sz w:val="21"/>
          <w:szCs w:val="21"/>
        </w:rPr>
        <w:t xml:space="preserve"> ser man dermed at emisjonsvolumet er høyere i SMB-bedriftene </w:t>
      </w:r>
      <w:r w:rsidRPr="00C37216">
        <w:rPr>
          <w:rStyle w:val="Svakreferanse"/>
          <w:color w:val="000000" w:themeColor="text1"/>
          <w:sz w:val="21"/>
          <w:szCs w:val="21"/>
          <w:u w:val="single"/>
        </w:rPr>
        <w:t>utenfor</w:t>
      </w:r>
      <w:r w:rsidRPr="00C37216">
        <w:rPr>
          <w:rStyle w:val="Svakreferanse"/>
          <w:color w:val="000000" w:themeColor="text1"/>
          <w:sz w:val="21"/>
          <w:szCs w:val="21"/>
        </w:rPr>
        <w:t xml:space="preserve"> Oslo og Akershus (demonstrert t.v. i figur 6) enn i </w:t>
      </w:r>
      <w:r w:rsidR="009A2C6B" w:rsidRPr="00C37216">
        <w:rPr>
          <w:rStyle w:val="Svakreferanse"/>
          <w:color w:val="000000" w:themeColor="text1"/>
          <w:sz w:val="21"/>
          <w:szCs w:val="21"/>
        </w:rPr>
        <w:t xml:space="preserve">SMB-bedriftene registrert </w:t>
      </w:r>
      <w:r w:rsidR="009A2C6B" w:rsidRPr="00C37216">
        <w:rPr>
          <w:rStyle w:val="Svakreferanse"/>
          <w:color w:val="000000" w:themeColor="text1"/>
          <w:sz w:val="21"/>
          <w:szCs w:val="21"/>
          <w:u w:val="single"/>
        </w:rPr>
        <w:t>i</w:t>
      </w:r>
      <w:r w:rsidR="009A2C6B" w:rsidRPr="00C37216">
        <w:rPr>
          <w:rStyle w:val="Svakreferanse"/>
          <w:color w:val="000000" w:themeColor="text1"/>
          <w:sz w:val="21"/>
          <w:szCs w:val="21"/>
        </w:rPr>
        <w:t xml:space="preserve"> </w:t>
      </w:r>
      <w:r w:rsidRPr="00C37216">
        <w:rPr>
          <w:rStyle w:val="Svakreferanse"/>
          <w:color w:val="000000" w:themeColor="text1"/>
          <w:sz w:val="21"/>
          <w:szCs w:val="21"/>
        </w:rPr>
        <w:t xml:space="preserve">Oslo og Akershus (vist t.v. </w:t>
      </w:r>
      <w:r w:rsidR="00F224A6" w:rsidRPr="00C37216">
        <w:rPr>
          <w:rStyle w:val="Svakreferanse"/>
          <w:color w:val="000000" w:themeColor="text1"/>
          <w:sz w:val="21"/>
          <w:szCs w:val="21"/>
        </w:rPr>
        <w:t xml:space="preserve">i </w:t>
      </w:r>
      <w:r w:rsidRPr="00C37216">
        <w:rPr>
          <w:rStyle w:val="Svakreferanse"/>
          <w:color w:val="000000" w:themeColor="text1"/>
          <w:sz w:val="21"/>
          <w:szCs w:val="21"/>
        </w:rPr>
        <w:t xml:space="preserve">figur </w:t>
      </w:r>
      <w:r w:rsidR="00C37216" w:rsidRPr="00C37216">
        <w:rPr>
          <w:rStyle w:val="Svakreferanse"/>
          <w:color w:val="000000" w:themeColor="text1"/>
          <w:sz w:val="21"/>
          <w:szCs w:val="21"/>
        </w:rPr>
        <w:t>19</w:t>
      </w:r>
      <w:r w:rsidRPr="00C37216">
        <w:rPr>
          <w:rStyle w:val="Svakreferanse"/>
          <w:color w:val="000000" w:themeColor="text1"/>
          <w:sz w:val="21"/>
          <w:szCs w:val="21"/>
        </w:rPr>
        <w:t>)</w:t>
      </w:r>
      <w:r w:rsidR="009A2C6B" w:rsidRPr="00C37216">
        <w:rPr>
          <w:rStyle w:val="Svakreferanse"/>
          <w:color w:val="000000" w:themeColor="text1"/>
          <w:sz w:val="21"/>
          <w:szCs w:val="21"/>
        </w:rPr>
        <w:t xml:space="preserve">. Når </w:t>
      </w:r>
      <w:r w:rsidR="009A2C6B">
        <w:rPr>
          <w:rStyle w:val="Svakreferanse"/>
          <w:sz w:val="21"/>
          <w:szCs w:val="21"/>
        </w:rPr>
        <w:t>det gjelder</w:t>
      </w:r>
      <w:r w:rsidRPr="00321ED5">
        <w:rPr>
          <w:rStyle w:val="Svakreferanse"/>
          <w:sz w:val="21"/>
          <w:szCs w:val="21"/>
        </w:rPr>
        <w:t xml:space="preserve"> emisjonsvolumet</w:t>
      </w:r>
      <w:r w:rsidR="009A2C6B">
        <w:rPr>
          <w:rStyle w:val="Svakreferanse"/>
          <w:sz w:val="21"/>
          <w:szCs w:val="21"/>
        </w:rPr>
        <w:t xml:space="preserve"> i de større bedriftene med over 350 mill. kroner i totale bedriftseiendeler er dette</w:t>
      </w:r>
      <w:r w:rsidRPr="00321ED5">
        <w:rPr>
          <w:rStyle w:val="Svakreferanse"/>
          <w:sz w:val="21"/>
          <w:szCs w:val="21"/>
        </w:rPr>
        <w:t xml:space="preserve"> høyere i de store bedriftene lokalisert i Oslo og Akershus</w:t>
      </w:r>
      <w:r w:rsidR="009A2C6B">
        <w:rPr>
          <w:rStyle w:val="Svakreferanse"/>
          <w:sz w:val="21"/>
          <w:szCs w:val="21"/>
        </w:rPr>
        <w:t xml:space="preserve"> (både norsk privat og utenlandsk kapital)</w:t>
      </w:r>
      <w:r w:rsidRPr="00321ED5">
        <w:rPr>
          <w:rStyle w:val="Svakreferanse"/>
          <w:sz w:val="21"/>
          <w:szCs w:val="21"/>
        </w:rPr>
        <w:t xml:space="preserve"> </w:t>
      </w:r>
      <w:r w:rsidR="009A2C6B">
        <w:rPr>
          <w:rStyle w:val="Svakreferanse"/>
          <w:sz w:val="21"/>
          <w:szCs w:val="21"/>
        </w:rPr>
        <w:t xml:space="preserve">sammenlignet med resten av landet. </w:t>
      </w:r>
      <w:r w:rsidRPr="00321ED5">
        <w:rPr>
          <w:rStyle w:val="Svakreferanse"/>
          <w:sz w:val="21"/>
          <w:szCs w:val="21"/>
        </w:rPr>
        <w:t xml:space="preserve">Et annet interessant funn er at den statlige kapitalandelen er høyere for de store bedriftene utenfor Oslo og Akershus (13,7 </w:t>
      </w:r>
      <w:r w:rsidR="00BC0E64">
        <w:rPr>
          <w:rFonts w:eastAsia="Times New Roman"/>
          <w:lang w:eastAsia="nb-NO"/>
        </w:rPr>
        <w:t>prosent</w:t>
      </w:r>
      <w:r w:rsidRPr="00321ED5">
        <w:rPr>
          <w:rStyle w:val="Svakreferanse"/>
          <w:sz w:val="21"/>
          <w:szCs w:val="21"/>
        </w:rPr>
        <w:t>) enn de</w:t>
      </w:r>
      <w:r w:rsidR="009A2C6B">
        <w:rPr>
          <w:rStyle w:val="Svakreferanse"/>
          <w:sz w:val="21"/>
          <w:szCs w:val="21"/>
        </w:rPr>
        <w:t xml:space="preserve"> store bedriftene</w:t>
      </w:r>
      <w:r w:rsidRPr="00321ED5">
        <w:rPr>
          <w:rStyle w:val="Svakreferanse"/>
          <w:sz w:val="21"/>
          <w:szCs w:val="21"/>
        </w:rPr>
        <w:t xml:space="preserve"> lokalisert innenfor dette området (2,5 </w:t>
      </w:r>
      <w:r w:rsidR="00BC0E64">
        <w:rPr>
          <w:rFonts w:eastAsia="Times New Roman"/>
          <w:lang w:eastAsia="nb-NO"/>
        </w:rPr>
        <w:t>prosent</w:t>
      </w:r>
      <w:r w:rsidRPr="00321ED5">
        <w:rPr>
          <w:rStyle w:val="Svakreferanse"/>
          <w:sz w:val="21"/>
          <w:szCs w:val="21"/>
        </w:rPr>
        <w:t>).</w:t>
      </w:r>
    </w:p>
    <w:p w14:paraId="2538EE75" w14:textId="77777777" w:rsidR="00AA61FD" w:rsidRPr="00321ED5" w:rsidRDefault="00AA61FD" w:rsidP="00AA61FD">
      <w:pPr>
        <w:rPr>
          <w:rStyle w:val="Svakreferanse"/>
          <w:sz w:val="21"/>
          <w:szCs w:val="21"/>
        </w:rPr>
      </w:pPr>
    </w:p>
    <w:p w14:paraId="57997FCD" w14:textId="7B66E559" w:rsidR="00BC0E64" w:rsidRDefault="00AA61FD" w:rsidP="00AA61FD">
      <w:pPr>
        <w:jc w:val="both"/>
        <w:rPr>
          <w:rFonts w:eastAsia="Times New Roman"/>
          <w:szCs w:val="21"/>
          <w:lang w:eastAsia="nb-NO"/>
        </w:rPr>
      </w:pPr>
      <w:r w:rsidRPr="00C37216">
        <w:rPr>
          <w:color w:val="000000" w:themeColor="text1"/>
          <w:szCs w:val="21"/>
        </w:rPr>
        <w:t xml:space="preserve">Figur </w:t>
      </w:r>
      <w:r w:rsidR="00C37216" w:rsidRPr="00C37216">
        <w:rPr>
          <w:color w:val="000000" w:themeColor="text1"/>
          <w:szCs w:val="21"/>
        </w:rPr>
        <w:t>20</w:t>
      </w:r>
      <w:r w:rsidRPr="00C37216">
        <w:rPr>
          <w:color w:val="000000" w:themeColor="text1"/>
          <w:szCs w:val="21"/>
        </w:rPr>
        <w:t xml:space="preserve"> illustrerer </w:t>
      </w:r>
      <w:r w:rsidRPr="00F224A6">
        <w:rPr>
          <w:szCs w:val="21"/>
        </w:rPr>
        <w:t xml:space="preserve">gjennomsnittlig emisjonsvolum i hele Norge mellom de tre kapitalkildene, basert på de samme </w:t>
      </w:r>
      <w:r w:rsidR="00C6656C">
        <w:rPr>
          <w:szCs w:val="21"/>
        </w:rPr>
        <w:t>bedrifts</w:t>
      </w:r>
      <w:r w:rsidRPr="00F224A6">
        <w:rPr>
          <w:szCs w:val="21"/>
        </w:rPr>
        <w:t xml:space="preserve">størrelseskategoriene. </w:t>
      </w:r>
      <w:r w:rsidRPr="00C6656C">
        <w:rPr>
          <w:rFonts w:eastAsia="Times New Roman"/>
          <w:szCs w:val="21"/>
          <w:lang w:eastAsia="nb-NO"/>
        </w:rPr>
        <w:t xml:space="preserve">De norske private emisjonsvolumene var desidert høyest i store bedrifter, med et gjennomsnittlig emisjonsvolum på 6,6 milliarder per år i perioden 2012-2015. Også </w:t>
      </w:r>
      <w:r w:rsidRPr="000539B3">
        <w:rPr>
          <w:rFonts w:eastAsia="Times New Roman"/>
          <w:szCs w:val="21"/>
          <w:lang w:eastAsia="nb-NO"/>
        </w:rPr>
        <w:t>for de mellomstore bedriftene befant det norske private emisjonsvolumet seg på høye nivåer, tilsvarende 3,</w:t>
      </w:r>
      <w:r w:rsidR="00BC0E64">
        <w:rPr>
          <w:rFonts w:eastAsia="Times New Roman"/>
          <w:szCs w:val="21"/>
          <w:lang w:eastAsia="nb-NO"/>
        </w:rPr>
        <w:t>9</w:t>
      </w:r>
      <w:r w:rsidRPr="000539B3">
        <w:rPr>
          <w:rFonts w:eastAsia="Times New Roman"/>
          <w:szCs w:val="21"/>
          <w:lang w:eastAsia="nb-NO"/>
        </w:rPr>
        <w:t xml:space="preserve"> milliarder i gjennomsnitt per år i </w:t>
      </w:r>
      <w:r w:rsidRPr="000539B3">
        <w:rPr>
          <w:rFonts w:eastAsia="Times New Roman"/>
          <w:szCs w:val="21"/>
          <w:lang w:eastAsia="nb-NO"/>
        </w:rPr>
        <w:lastRenderedPageBreak/>
        <w:t>sa</w:t>
      </w:r>
      <w:r w:rsidRPr="00245AEE">
        <w:rPr>
          <w:rFonts w:eastAsia="Times New Roman"/>
          <w:szCs w:val="21"/>
          <w:lang w:eastAsia="nb-NO"/>
        </w:rPr>
        <w:t xml:space="preserve">mme periode. Vi ser </w:t>
      </w:r>
      <w:r w:rsidR="00C6656C">
        <w:rPr>
          <w:rFonts w:eastAsia="Times New Roman"/>
          <w:szCs w:val="21"/>
          <w:lang w:eastAsia="nb-NO"/>
        </w:rPr>
        <w:t xml:space="preserve">også </w:t>
      </w:r>
      <w:r w:rsidRPr="00C6656C">
        <w:rPr>
          <w:rFonts w:eastAsia="Times New Roman"/>
          <w:szCs w:val="21"/>
          <w:lang w:eastAsia="nb-NO"/>
        </w:rPr>
        <w:t xml:space="preserve">av figur </w:t>
      </w:r>
      <w:r w:rsidR="00E90D92">
        <w:rPr>
          <w:rFonts w:eastAsia="Times New Roman"/>
          <w:szCs w:val="21"/>
          <w:lang w:eastAsia="nb-NO"/>
        </w:rPr>
        <w:t>20</w:t>
      </w:r>
      <w:r w:rsidRPr="00C6656C">
        <w:rPr>
          <w:rFonts w:eastAsia="Times New Roman"/>
          <w:szCs w:val="21"/>
          <w:lang w:eastAsia="nb-NO"/>
        </w:rPr>
        <w:t xml:space="preserve"> at andelen utenlandsk egenkapital er 3,</w:t>
      </w:r>
      <w:r w:rsidR="00BC0E64">
        <w:rPr>
          <w:rFonts w:eastAsia="Times New Roman"/>
          <w:szCs w:val="21"/>
          <w:lang w:eastAsia="nb-NO"/>
        </w:rPr>
        <w:t>4</w:t>
      </w:r>
      <w:r w:rsidRPr="00C6656C">
        <w:rPr>
          <w:rFonts w:eastAsia="Times New Roman"/>
          <w:szCs w:val="21"/>
          <w:lang w:eastAsia="nb-NO"/>
        </w:rPr>
        <w:t xml:space="preserve"> milliarder i snitt per år blant store bedrifter, men betydelig lavere blant SMB-bedriftene.</w:t>
      </w:r>
    </w:p>
    <w:p w14:paraId="2AE9CB2A" w14:textId="36C8C858" w:rsidR="00AA61FD" w:rsidRDefault="00AA61FD" w:rsidP="00AA61FD">
      <w:pPr>
        <w:jc w:val="both"/>
      </w:pPr>
      <w:r w:rsidRPr="001D1940">
        <w:rPr>
          <w:noProof/>
          <w:szCs w:val="21"/>
        </w:rPr>
        <w:t xml:space="preserve"> </w:t>
      </w:r>
      <w:r w:rsidRPr="001D1940">
        <w:rPr>
          <w:szCs w:val="21"/>
        </w:rPr>
        <w:t xml:space="preserve"> </w:t>
      </w:r>
    </w:p>
    <w:p w14:paraId="06F0076B" w14:textId="48D84846" w:rsidR="00AA61FD" w:rsidRDefault="00AA61FD" w:rsidP="00AA61FD">
      <w:pPr>
        <w:pStyle w:val="Bildetekst"/>
        <w:keepNext/>
      </w:pPr>
      <w:r>
        <w:t xml:space="preserve">Figur </w:t>
      </w:r>
      <w:r w:rsidR="009A6A52">
        <w:fldChar w:fldCharType="begin"/>
      </w:r>
      <w:r w:rsidR="009A6A52">
        <w:instrText xml:space="preserve"> SEQ Figur \* ARABIC </w:instrText>
      </w:r>
      <w:r w:rsidR="009A6A52">
        <w:fldChar w:fldCharType="separate"/>
      </w:r>
      <w:r w:rsidR="00C37216">
        <w:rPr>
          <w:noProof/>
        </w:rPr>
        <w:t>20</w:t>
      </w:r>
      <w:r w:rsidR="009A6A52">
        <w:rPr>
          <w:noProof/>
        </w:rPr>
        <w:fldChar w:fldCharType="end"/>
      </w:r>
      <w:r>
        <w:t xml:space="preserve">: </w:t>
      </w:r>
      <w:r w:rsidRPr="00B81E7B">
        <w:t>Gjennomsnittlig fordeling av emisjonsvolum i bedrifter i Norge, 2012-2015. Inndelt etter bedriftsstørrelse (eiendeler) og kapitalkilde. Gjennomsnittlig volum i milliarder per år</w:t>
      </w:r>
    </w:p>
    <w:p w14:paraId="1FCFF918" w14:textId="77777777" w:rsidR="008451A7" w:rsidRDefault="00AA61FD" w:rsidP="00BC0E64">
      <w:pPr>
        <w:tabs>
          <w:tab w:val="left" w:pos="2400"/>
        </w:tabs>
        <w:jc w:val="both"/>
        <w:rPr>
          <w:rStyle w:val="Svakreferanse"/>
        </w:rPr>
      </w:pPr>
      <w:r w:rsidRPr="004F5732">
        <w:rPr>
          <w:noProof/>
        </w:rPr>
        <w:drawing>
          <wp:inline distT="0" distB="0" distL="0" distR="0" wp14:anchorId="252E7EAA" wp14:editId="63E900D1">
            <wp:extent cx="5399405" cy="4116705"/>
            <wp:effectExtent l="0" t="0" r="0" b="0"/>
            <wp:docPr id="24" name="Diagram 24">
              <a:extLst xmlns:a="http://schemas.openxmlformats.org/drawingml/2006/main">
                <a:ext uri="{FF2B5EF4-FFF2-40B4-BE49-F238E27FC236}">
                  <a16:creationId xmlns:a16="http://schemas.microsoft.com/office/drawing/2014/main" id="{F80D9F59-A4AD-4B95-8BA1-75B2584139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br/>
      </w:r>
      <w:r w:rsidRPr="00EA613E">
        <w:rPr>
          <w:rStyle w:val="Svakreferanse"/>
        </w:rPr>
        <w:t>Kilde: BI v/ prof. Amir Sasson | NyAnaly</w:t>
      </w:r>
      <w:r>
        <w:rPr>
          <w:rStyle w:val="Svakreferanse"/>
        </w:rPr>
        <w:t>se</w:t>
      </w:r>
    </w:p>
    <w:p w14:paraId="49DC6B8F" w14:textId="6291FD0F" w:rsidR="00BC0E64" w:rsidRDefault="00C6656C" w:rsidP="00BC0E64">
      <w:pPr>
        <w:tabs>
          <w:tab w:val="left" w:pos="2400"/>
        </w:tabs>
        <w:jc w:val="both"/>
      </w:pPr>
      <w:r>
        <w:br/>
      </w:r>
      <w:r w:rsidR="001D1940">
        <w:t xml:space="preserve">Illustrasjonen i </w:t>
      </w:r>
      <w:r w:rsidR="001D1940" w:rsidRPr="00C37216">
        <w:rPr>
          <w:color w:val="000000" w:themeColor="text1"/>
        </w:rPr>
        <w:t xml:space="preserve">figur </w:t>
      </w:r>
      <w:r w:rsidR="00C37216" w:rsidRPr="00C37216">
        <w:rPr>
          <w:color w:val="000000" w:themeColor="text1"/>
        </w:rPr>
        <w:t>20</w:t>
      </w:r>
      <w:r w:rsidR="001D1940" w:rsidRPr="00C37216">
        <w:rPr>
          <w:color w:val="000000" w:themeColor="text1"/>
        </w:rPr>
        <w:t xml:space="preserve"> </w:t>
      </w:r>
      <w:r w:rsidR="001D1940">
        <w:t>viser at norsk privat egenkapital utgjør majoritetsandelen av emisjonsvolumet i alle norske SMB-bedrifter. F</w:t>
      </w:r>
      <w:r w:rsidR="00AA61FD">
        <w:t xml:space="preserve">igur </w:t>
      </w:r>
      <w:r w:rsidR="000E2A6D">
        <w:t>21</w:t>
      </w:r>
      <w:r w:rsidR="00AA61FD">
        <w:t xml:space="preserve"> fordeler emisjonsvolumene i hele Norge igjen mellom de tre kapitalkildene i de tilsvarende størrelseskategoriene. Av figuren fremgår det at den utenlandske andelen var i gjennomsnitt over dobbelt så stor i store bedrifter (19 </w:t>
      </w:r>
      <w:r w:rsidR="00BC0E64">
        <w:rPr>
          <w:rFonts w:eastAsia="Times New Roman"/>
          <w:lang w:eastAsia="nb-NO"/>
        </w:rPr>
        <w:t>prosent</w:t>
      </w:r>
      <w:r w:rsidR="00AA61FD">
        <w:t>) sammenlignet med mikrobedrifter (</w:t>
      </w:r>
      <w:r w:rsidR="00BC0E64">
        <w:t>9</w:t>
      </w:r>
      <w:r w:rsidR="00AA61FD">
        <w:t xml:space="preserve"> </w:t>
      </w:r>
      <w:r w:rsidR="00BC0E64">
        <w:rPr>
          <w:rFonts w:eastAsia="Times New Roman"/>
          <w:lang w:eastAsia="nb-NO"/>
        </w:rPr>
        <w:t>prosent</w:t>
      </w:r>
      <w:r w:rsidR="00AA61FD">
        <w:t>) i perioden 2012-2015. For de små (kategori liten) og mellomstore bedriftene befant de utenlandske andelene i snitt seg på henholdsvis 14 og 1</w:t>
      </w:r>
      <w:r w:rsidR="00BC0E64">
        <w:t>6</w:t>
      </w:r>
      <w:r w:rsidR="00AA61FD">
        <w:t xml:space="preserve"> </w:t>
      </w:r>
      <w:r w:rsidR="00BC0E64">
        <w:rPr>
          <w:rFonts w:eastAsia="Times New Roman"/>
          <w:lang w:eastAsia="nb-NO"/>
        </w:rPr>
        <w:t>prosent</w:t>
      </w:r>
      <w:r w:rsidR="00AA61FD">
        <w:t xml:space="preserve">. </w:t>
      </w:r>
      <w:r w:rsidR="00C35631">
        <w:t xml:space="preserve">Fordelingen demonstrerer dermed at den norsk private andelen av emisjonsvolumet i perioden er meget høy i alle de fire størrelseskategoriene, hvilket indikerer at i snitt 80 til 90 </w:t>
      </w:r>
      <w:r w:rsidR="00BC0E64">
        <w:rPr>
          <w:rFonts w:eastAsia="Times New Roman"/>
          <w:lang w:eastAsia="nb-NO"/>
        </w:rPr>
        <w:t>prosent</w:t>
      </w:r>
      <w:r w:rsidR="00C35631">
        <w:t xml:space="preserve"> av de bedriftene som gjennomfører emisjoner henter kapital fra norske private kilder.</w:t>
      </w:r>
    </w:p>
    <w:p w14:paraId="5F087139" w14:textId="314BF400" w:rsidR="00AA61FD" w:rsidRPr="006E4F2C" w:rsidRDefault="00C6656C" w:rsidP="00BC0E64">
      <w:pPr>
        <w:tabs>
          <w:tab w:val="left" w:pos="2400"/>
        </w:tabs>
        <w:jc w:val="both"/>
      </w:pPr>
      <w:r>
        <w:br/>
      </w:r>
    </w:p>
    <w:p w14:paraId="476252CE" w14:textId="7647DCA1" w:rsidR="00AA61FD" w:rsidRDefault="00AA61FD" w:rsidP="00AA61FD">
      <w:pPr>
        <w:pStyle w:val="Bildetekst"/>
        <w:keepNext/>
      </w:pPr>
      <w:r>
        <w:lastRenderedPageBreak/>
        <w:t xml:space="preserve">Figur </w:t>
      </w:r>
      <w:r w:rsidR="009A6A52">
        <w:fldChar w:fldCharType="begin"/>
      </w:r>
      <w:r w:rsidR="009A6A52">
        <w:instrText xml:space="preserve"> SEQ Figur \* ARABIC </w:instrText>
      </w:r>
      <w:r w:rsidR="009A6A52">
        <w:fldChar w:fldCharType="separate"/>
      </w:r>
      <w:r w:rsidR="000E2A6D">
        <w:rPr>
          <w:noProof/>
        </w:rPr>
        <w:t>21</w:t>
      </w:r>
      <w:r w:rsidR="009A6A52">
        <w:rPr>
          <w:noProof/>
        </w:rPr>
        <w:fldChar w:fldCharType="end"/>
      </w:r>
      <w:r>
        <w:t xml:space="preserve">: </w:t>
      </w:r>
      <w:r w:rsidRPr="00207C98">
        <w:t>Gjennomsnittlig fordeling av emisjonsvolum i bedrifter i Norge, 2012-2015. Inndelt etter bedriftsstørrelse (eiendeler) og kapitalkilde. Gjennomsnittlig kapitalandel i prosent per år</w:t>
      </w:r>
    </w:p>
    <w:p w14:paraId="220F921D" w14:textId="77777777" w:rsidR="00AA61FD" w:rsidRDefault="00AA61FD" w:rsidP="00AA61FD">
      <w:pPr>
        <w:rPr>
          <w:rStyle w:val="Svakreferanse"/>
        </w:rPr>
      </w:pPr>
      <w:r w:rsidRPr="00512BD1">
        <w:rPr>
          <w:noProof/>
        </w:rPr>
        <w:drawing>
          <wp:inline distT="0" distB="0" distL="0" distR="0" wp14:anchorId="2A9BE5CA" wp14:editId="71FAADF4">
            <wp:extent cx="5410200" cy="4124325"/>
            <wp:effectExtent l="0" t="0" r="0" b="0"/>
            <wp:docPr id="72" name="Diagram 72">
              <a:extLst xmlns:a="http://schemas.openxmlformats.org/drawingml/2006/main">
                <a:ext uri="{FF2B5EF4-FFF2-40B4-BE49-F238E27FC236}">
                  <a16:creationId xmlns:a16="http://schemas.microsoft.com/office/drawing/2014/main" id="{B224A267-CCF0-4967-962A-B175452CE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E0C1BA9" w14:textId="77777777" w:rsidR="00525E69" w:rsidRDefault="00AA61FD" w:rsidP="00AA61FD">
      <w:pPr>
        <w:jc w:val="both"/>
        <w:rPr>
          <w:rStyle w:val="Svakreferanse"/>
        </w:rPr>
      </w:pPr>
      <w:r w:rsidRPr="00EA613E">
        <w:rPr>
          <w:rStyle w:val="Svakreferanse"/>
        </w:rPr>
        <w:t>Kilde: BI v/ prof. Amir Sasson | NyAnalyse</w:t>
      </w:r>
    </w:p>
    <w:p w14:paraId="6E5B2650" w14:textId="28569727" w:rsidR="00291BE2" w:rsidRDefault="00AA61FD" w:rsidP="00A14F8E">
      <w:pPr>
        <w:jc w:val="both"/>
        <w:rPr>
          <w:b/>
          <w:bCs/>
          <w:szCs w:val="21"/>
        </w:rPr>
      </w:pPr>
      <w:r>
        <w:br/>
      </w:r>
    </w:p>
    <w:p w14:paraId="48C78B4E" w14:textId="77777777" w:rsidR="00291BE2" w:rsidRDefault="00291BE2" w:rsidP="00291BE2">
      <w:pPr>
        <w:jc w:val="both"/>
        <w:rPr>
          <w:rStyle w:val="Overskrift3Tegn"/>
          <w:color w:val="000000" w:themeColor="text1"/>
        </w:rPr>
      </w:pPr>
      <w:bookmarkStart w:id="18" w:name="_Toc52177866"/>
      <w:r>
        <w:rPr>
          <w:rStyle w:val="Overskrift3Tegn"/>
          <w:color w:val="000000" w:themeColor="text1"/>
        </w:rPr>
        <w:t>Norsk og utenlandsk eierskap</w:t>
      </w:r>
      <w:bookmarkEnd w:id="18"/>
    </w:p>
    <w:p w14:paraId="17ECE19D" w14:textId="43548E8E" w:rsidR="00291BE2" w:rsidRDefault="00291BE2" w:rsidP="00291BE2">
      <w:pPr>
        <w:jc w:val="both"/>
      </w:pPr>
      <w:r>
        <w:t>De empiriske emisjonsdataene fra BI for 2015 er i tråd med data på hvorvidt det er norsk eller utenlandske eiere i norsk næringsliv.</w:t>
      </w:r>
    </w:p>
    <w:p w14:paraId="384BF1AC" w14:textId="77777777" w:rsidR="00291BE2" w:rsidRDefault="00291BE2" w:rsidP="00291BE2">
      <w:pPr>
        <w:jc w:val="both"/>
      </w:pPr>
    </w:p>
    <w:p w14:paraId="77D86D1F" w14:textId="503396A1" w:rsidR="00291BE2" w:rsidRDefault="00291BE2" w:rsidP="00291BE2">
      <w:pPr>
        <w:jc w:val="both"/>
      </w:pPr>
      <w:r>
        <w:t xml:space="preserve">Den vanligste størrelsen på antall ansatte i både utenlands- og norskkontrollerte foretak registrert i norsk næringsliv er 1-4 ansatte. For de utenlandskontrollerte foretakene hadde omtrentlig 1 900 av disse 1-4 ansatte i 2018, mens drøyt 1 000 av foretakene hadde 5-9 ansatte samme år. Antall foretak med 10-19 og 20-49 ansatte var relativt like, med henholdsvis 900 og 800 foretak i de to sysselsettingsintervallene. For de norskkontrollerte foretakene, definert som alle foretak fratrukket utenlandske datterselskap, er denne minste foretaksstørrelsen den desiderts vanligste, der 132 000 foretak hadde 1-4 ansatte samme år. Dernest hadde nesten 24 000 norskkontrollerte foretak 5-9 ansatte, mens ca. 14 000 hadde 10-19 ansatte. Figur 22 under illustrerer fordelingen av antall utenlands- og norskkontrollerte foretak i norsk næringsliv i 2018. Figuren viser tydelig at majoriteten av </w:t>
      </w:r>
      <w:r>
        <w:lastRenderedPageBreak/>
        <w:t xml:space="preserve">SMB-bedrifter i Norge med registrerte ansatte (her definert som foretak med 1-99 ansatte) er norskkontrollerte uten utenlandsk datterselskap. Man ser av figuren at 90-98 prosent av foretakene med under 50 ansatte er norskkontrollerte, mens om lag 8 av 10 foretak med 50-99 ansatte er norskkontrollerte. Dette betyr at i gjennomsnitt 92 prosent av SMB-bedriftene i Norge var norskkontrollerte og uten utenlandsk datterselskap i 2018. </w:t>
      </w:r>
      <w:r>
        <w:br/>
      </w:r>
    </w:p>
    <w:p w14:paraId="44DF3FD0" w14:textId="62EEA1E4" w:rsidR="00291BE2" w:rsidRDefault="00291BE2" w:rsidP="00291BE2">
      <w:pPr>
        <w:pStyle w:val="Bildetekst"/>
        <w:keepNext/>
      </w:pPr>
      <w:r>
        <w:t xml:space="preserve">Figur </w:t>
      </w:r>
      <w:r w:rsidR="009A6A52">
        <w:fldChar w:fldCharType="begin"/>
      </w:r>
      <w:r w:rsidR="009A6A52">
        <w:instrText xml:space="preserve"> SEQ Figur \* ARABIC </w:instrText>
      </w:r>
      <w:r w:rsidR="009A6A52">
        <w:fldChar w:fldCharType="separate"/>
      </w:r>
      <w:r w:rsidR="000E2A6D">
        <w:rPr>
          <w:noProof/>
        </w:rPr>
        <w:t>22</w:t>
      </w:r>
      <w:r w:rsidR="009A6A52">
        <w:rPr>
          <w:noProof/>
        </w:rPr>
        <w:fldChar w:fldCharType="end"/>
      </w:r>
      <w:r>
        <w:t xml:space="preserve">: </w:t>
      </w:r>
      <w:r w:rsidRPr="00845D96">
        <w:t xml:space="preserve">Fordeling av </w:t>
      </w:r>
      <w:r>
        <w:t xml:space="preserve">antall </w:t>
      </w:r>
      <w:r w:rsidRPr="00845D96">
        <w:t>utenlands- og norskkontrollerte foretak i n</w:t>
      </w:r>
      <w:r>
        <w:t>orsk n</w:t>
      </w:r>
      <w:r w:rsidRPr="00845D96">
        <w:t>æringsliv, 2018. Inndelt etter sysselsettingsintervaller.</w:t>
      </w:r>
      <w:r>
        <w:t xml:space="preserve"> Andeler i prosent relativt til hele næringslivet</w:t>
      </w:r>
    </w:p>
    <w:p w14:paraId="439FEAA6" w14:textId="77777777" w:rsidR="00291BE2" w:rsidRDefault="00291BE2" w:rsidP="00291BE2">
      <w:r>
        <w:rPr>
          <w:noProof/>
        </w:rPr>
        <w:drawing>
          <wp:inline distT="0" distB="0" distL="0" distR="0" wp14:anchorId="5B9BB8DB" wp14:editId="000F978F">
            <wp:extent cx="5743575" cy="2962275"/>
            <wp:effectExtent l="0" t="0" r="0" b="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67C2D30" w14:textId="77777777" w:rsidR="00291BE2" w:rsidRDefault="00291BE2" w:rsidP="00291BE2">
      <w:pPr>
        <w:jc w:val="both"/>
        <w:rPr>
          <w:sz w:val="16"/>
          <w:szCs w:val="16"/>
        </w:rPr>
      </w:pPr>
      <w:r w:rsidRPr="00022272">
        <w:rPr>
          <w:sz w:val="16"/>
          <w:szCs w:val="16"/>
        </w:rPr>
        <w:t>Kilde: SSB</w:t>
      </w:r>
    </w:p>
    <w:p w14:paraId="3A33746D" w14:textId="64DE46C1" w:rsidR="00291BE2" w:rsidRDefault="00291BE2" w:rsidP="00291BE2">
      <w:pPr>
        <w:jc w:val="both"/>
        <w:rPr>
          <w:b/>
          <w:bCs/>
          <w:sz w:val="24"/>
          <w:szCs w:val="24"/>
        </w:rPr>
      </w:pPr>
      <w:r>
        <w:rPr>
          <w:sz w:val="16"/>
          <w:szCs w:val="16"/>
        </w:rPr>
        <w:br/>
      </w:r>
      <w:r>
        <w:t>Den utenlandskontrollerte foretaksandelen blir høyere i takt med at antall ansatte stiger. For foretak med 100-249, og 250 eller flere ansatte befant de utenlandskontrollerte andelene seg på henholdsvis 28,6 og 45,3 prosent dette året. Den relative eierandelen til de utenlandskontrollerte foretakene blant større bedrifter har steget de siste årene.</w:t>
      </w:r>
      <w:r>
        <w:br/>
      </w:r>
      <w:r>
        <w:rPr>
          <w:b/>
          <w:bCs/>
        </w:rPr>
        <w:br/>
      </w:r>
      <w:r w:rsidRPr="00291BE2">
        <w:rPr>
          <w:b/>
          <w:bCs/>
          <w:sz w:val="24"/>
          <w:szCs w:val="24"/>
        </w:rPr>
        <w:t>Fordeling etter sysselsatte</w:t>
      </w:r>
    </w:p>
    <w:p w14:paraId="68F9C535" w14:textId="3DFBA9A1" w:rsidR="00291BE2" w:rsidRPr="001A1821" w:rsidRDefault="00291BE2" w:rsidP="00291BE2">
      <w:pPr>
        <w:jc w:val="both"/>
      </w:pPr>
      <w:r>
        <w:rPr>
          <w:b/>
          <w:bCs/>
        </w:rPr>
        <w:br/>
      </w:r>
      <w:r>
        <w:t xml:space="preserve">Det er også relevant å se nærmere på i hvilke sysselsettingsintervaller de to foretaksgruppene sysselsetter sine ansatte. For utenlandskontrollerte foretak var om lag 216 000 sysselsatt i bedrifter med over 250 ansatte, mens 52 000 var sysselsatt i bedrifter med 100-249 ansatte. Antallet sysselsatte i utenlandskontrollerte foretak med under 100 ansatte var naturligvis lavere, der blant annet 3 900 var ansatt i bedrifter med 1-4 ansatte, 7 000 i bedrifter med 5-9 ansatte, og 12 500 i bedrifter med 10-19 ansatte. For de norskkontrollerte foretakene uten utenlandsk datterselskap er bildet helt annerledes. Her </w:t>
      </w:r>
      <w:r>
        <w:lastRenderedPageBreak/>
        <w:t xml:space="preserve">var 212 000 sysselsatt i de minste bedriftene med 1-4 ansatte, 156 000 ansatt i bedriftene med 5-9 ansatte og 185 000 i bedrifter med 10-19 ansatte. Figur 23 viser igjen fordeling mellom utenlands- og norskkontrollerte foretak, men denne gangen er fordelingen basert på det totale antall sysselsatte i de enkelte sysselsettingsgruppene, og ikke antall foretak. Figuren illustrerer imidlertid et veldig lignende mønster som i figur 22. Ansatte i SMB-bedrifter i ca. 9 av 10 tilfeller er sysselsatt i norskkontrollerte foretak (ikke utenlandsk datterselskap). </w:t>
      </w:r>
      <w:r>
        <w:br/>
      </w:r>
    </w:p>
    <w:p w14:paraId="510F7977" w14:textId="77C58795" w:rsidR="00291BE2" w:rsidRDefault="00291BE2" w:rsidP="00291BE2">
      <w:pPr>
        <w:pStyle w:val="Bildetekst"/>
        <w:keepNext/>
      </w:pPr>
      <w:r>
        <w:t xml:space="preserve">Figur </w:t>
      </w:r>
      <w:r w:rsidR="009A6A52">
        <w:fldChar w:fldCharType="begin"/>
      </w:r>
      <w:r w:rsidR="009A6A52">
        <w:instrText xml:space="preserve"> SEQ Figur \* ARABIC </w:instrText>
      </w:r>
      <w:r w:rsidR="009A6A52">
        <w:fldChar w:fldCharType="separate"/>
      </w:r>
      <w:r>
        <w:rPr>
          <w:noProof/>
        </w:rPr>
        <w:t>23</w:t>
      </w:r>
      <w:r w:rsidR="009A6A52">
        <w:rPr>
          <w:noProof/>
        </w:rPr>
        <w:fldChar w:fldCharType="end"/>
      </w:r>
      <w:r>
        <w:t xml:space="preserve">: </w:t>
      </w:r>
      <w:r w:rsidRPr="006C4220">
        <w:t xml:space="preserve">Fordeling av </w:t>
      </w:r>
      <w:r>
        <w:t xml:space="preserve">sysselsatte i </w:t>
      </w:r>
      <w:r w:rsidRPr="006C4220">
        <w:t>utenlands- og norskkontrollerte foretak i n</w:t>
      </w:r>
      <w:r>
        <w:t>orsk n</w:t>
      </w:r>
      <w:r w:rsidRPr="006C4220">
        <w:t>æringsliv, 2018. Inndelt etter sysselsettingsintervaller.</w:t>
      </w:r>
      <w:r>
        <w:t xml:space="preserve"> Andeler i prosent relativt til hele næringslivet</w:t>
      </w:r>
    </w:p>
    <w:p w14:paraId="1CF1806C" w14:textId="7AA7580E" w:rsidR="00291BE2" w:rsidRDefault="00291BE2" w:rsidP="00291BE2">
      <w:pPr>
        <w:spacing w:after="160" w:line="259" w:lineRule="auto"/>
        <w:rPr>
          <w:b/>
          <w:bCs/>
          <w:szCs w:val="21"/>
        </w:rPr>
      </w:pPr>
      <w:r>
        <w:rPr>
          <w:b/>
          <w:bCs/>
          <w:noProof/>
        </w:rPr>
        <w:drawing>
          <wp:inline distT="0" distB="0" distL="0" distR="0" wp14:anchorId="7135EEEF" wp14:editId="3D1C4A8D">
            <wp:extent cx="5734050" cy="3124200"/>
            <wp:effectExtent l="0" t="0" r="0" b="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b/>
          <w:bCs/>
        </w:rPr>
        <w:br/>
      </w:r>
      <w:r w:rsidRPr="00022272">
        <w:rPr>
          <w:sz w:val="16"/>
          <w:szCs w:val="16"/>
        </w:rPr>
        <w:t>Kilde: SSB</w:t>
      </w:r>
      <w:r>
        <w:rPr>
          <w:sz w:val="16"/>
          <w:szCs w:val="16"/>
        </w:rPr>
        <w:br/>
      </w:r>
    </w:p>
    <w:p w14:paraId="18A5B67D" w14:textId="77777777" w:rsidR="00C37216" w:rsidRPr="00C37216" w:rsidRDefault="00C37216" w:rsidP="00A14F8E">
      <w:pPr>
        <w:jc w:val="both"/>
        <w:rPr>
          <w:b/>
          <w:bCs/>
          <w:szCs w:val="21"/>
        </w:rPr>
      </w:pPr>
    </w:p>
    <w:p w14:paraId="4E7F8FBF" w14:textId="77777777" w:rsidR="00C37216" w:rsidRPr="00C37216" w:rsidRDefault="00C37216" w:rsidP="00A14F8E">
      <w:pPr>
        <w:jc w:val="both"/>
        <w:rPr>
          <w:b/>
          <w:bCs/>
          <w:szCs w:val="21"/>
        </w:rPr>
      </w:pPr>
      <w:r w:rsidRPr="00C37216">
        <w:rPr>
          <w:b/>
          <w:bCs/>
          <w:szCs w:val="21"/>
        </w:rPr>
        <w:t>Samlet vurdering:</w:t>
      </w:r>
    </w:p>
    <w:p w14:paraId="4A651DE1" w14:textId="17D7D7D4" w:rsidR="00AA61FD" w:rsidRPr="00B91732" w:rsidRDefault="00C37216" w:rsidP="00A14F8E">
      <w:pPr>
        <w:jc w:val="both"/>
        <w:rPr>
          <w:szCs w:val="21"/>
        </w:rPr>
      </w:pPr>
      <w:r>
        <w:rPr>
          <w:szCs w:val="21"/>
        </w:rPr>
        <w:br/>
      </w:r>
      <w:r w:rsidR="00AA61FD" w:rsidRPr="00B91732">
        <w:rPr>
          <w:szCs w:val="21"/>
        </w:rPr>
        <w:t xml:space="preserve">Funnene i denne </w:t>
      </w:r>
      <w:r w:rsidR="00BC0E64">
        <w:rPr>
          <w:szCs w:val="21"/>
        </w:rPr>
        <w:t>analysen av kilde til emisjonskapital</w:t>
      </w:r>
      <w:r w:rsidR="00AA61FD" w:rsidRPr="00B91732">
        <w:rPr>
          <w:szCs w:val="21"/>
        </w:rPr>
        <w:t xml:space="preserve"> illustrerer at norsk privat egenkapital finansierer hoveddelen av egenkapitalemisjonene i SMB-markedet</w:t>
      </w:r>
      <w:r w:rsidR="00A14F8E" w:rsidRPr="00C35631">
        <w:rPr>
          <w:szCs w:val="21"/>
        </w:rPr>
        <w:t>. Implikasjonen av dette er at i</w:t>
      </w:r>
      <w:r w:rsidR="00AA61FD" w:rsidRPr="00321ED5">
        <w:rPr>
          <w:rStyle w:val="Svakreferanse"/>
          <w:sz w:val="21"/>
          <w:szCs w:val="21"/>
        </w:rPr>
        <w:t xml:space="preserve">nnrettingen av </w:t>
      </w:r>
      <w:r w:rsidR="00A14F8E" w:rsidRPr="00321ED5">
        <w:rPr>
          <w:rStyle w:val="Svakreferanse"/>
          <w:sz w:val="21"/>
          <w:szCs w:val="21"/>
        </w:rPr>
        <w:t xml:space="preserve">rammevilkår for norsk privat kapital, herunder </w:t>
      </w:r>
      <w:r w:rsidR="00AA61FD" w:rsidRPr="00321ED5">
        <w:rPr>
          <w:rStyle w:val="Svakreferanse"/>
          <w:sz w:val="21"/>
          <w:szCs w:val="21"/>
        </w:rPr>
        <w:t>formuesskatt på arbeidende norsk privat kapital</w:t>
      </w:r>
      <w:r w:rsidR="00A14F8E" w:rsidRPr="00321ED5">
        <w:rPr>
          <w:rStyle w:val="Svakreferanse"/>
          <w:sz w:val="21"/>
          <w:szCs w:val="21"/>
        </w:rPr>
        <w:t>,</w:t>
      </w:r>
      <w:r w:rsidR="00AA61FD" w:rsidRPr="00321ED5">
        <w:rPr>
          <w:rStyle w:val="Svakreferanse"/>
          <w:sz w:val="21"/>
          <w:szCs w:val="21"/>
        </w:rPr>
        <w:t xml:space="preserve"> </w:t>
      </w:r>
      <w:r w:rsidR="00A14F8E" w:rsidRPr="00321ED5">
        <w:rPr>
          <w:rStyle w:val="Svakreferanse"/>
          <w:sz w:val="21"/>
          <w:szCs w:val="21"/>
        </w:rPr>
        <w:t xml:space="preserve">vil ha betydning for hvordan økonomien virker. Begrensninger i tilgang på risikokapital som bedrifter kan benytte til nyetableringer, vekst og omstilling gir relativt sett mindre slik aktivitet. </w:t>
      </w:r>
    </w:p>
    <w:bookmarkEnd w:id="3"/>
    <w:p w14:paraId="0A92AE36" w14:textId="77777777" w:rsidR="00F359D5" w:rsidRDefault="00F359D5" w:rsidP="00321ED5">
      <w:pPr>
        <w:rPr>
          <w:rFonts w:eastAsiaTheme="majorEastAsia" w:cstheme="majorBidi"/>
          <w:b/>
          <w:color w:val="2E74B5" w:themeColor="accent1" w:themeShade="BF"/>
          <w:sz w:val="32"/>
          <w:szCs w:val="32"/>
        </w:rPr>
      </w:pPr>
      <w:r>
        <w:br w:type="page"/>
      </w:r>
    </w:p>
    <w:p w14:paraId="67DF579E" w14:textId="77777777" w:rsidR="00AA61FD" w:rsidRPr="001F7A15" w:rsidRDefault="00AA61FD" w:rsidP="00AA61FD">
      <w:pPr>
        <w:pStyle w:val="Overskrift1"/>
        <w:rPr>
          <w:caps/>
        </w:rPr>
      </w:pPr>
      <w:bookmarkStart w:id="19" w:name="_Toc52177867"/>
      <w:r w:rsidRPr="001F7A15">
        <w:rPr>
          <w:caps/>
        </w:rPr>
        <w:lastRenderedPageBreak/>
        <w:t>Betydningen av SMB-bedrifter i økonomien</w:t>
      </w:r>
      <w:bookmarkEnd w:id="19"/>
    </w:p>
    <w:p w14:paraId="7E312CF3" w14:textId="77777777" w:rsidR="00AA61FD" w:rsidRDefault="00AA61FD" w:rsidP="00BC0E64">
      <w:pPr>
        <w:jc w:val="both"/>
      </w:pPr>
      <w:r>
        <w:t xml:space="preserve">Små og mellomstore bedrifter (SMB) er selve bærebjelkene i norsk økonomi, og frembringer betydelige samfunnsverdier hvert eneste år. Det er vanlig å operere med ulike størrelsesdefinisjoner av små og mellomstore bedrifter på global basis, men i Norge anser en i de aller fleste tilfeller at de er bedrifter med under 100 ansatte. </w:t>
      </w:r>
    </w:p>
    <w:p w14:paraId="3F965D57" w14:textId="77777777" w:rsidR="00AA61FD" w:rsidRDefault="00AA61FD" w:rsidP="00BC0E64">
      <w:pPr>
        <w:jc w:val="both"/>
      </w:pPr>
    </w:p>
    <w:p w14:paraId="06879E36" w14:textId="611039AF" w:rsidR="00AA61FD" w:rsidRDefault="00AA61FD" w:rsidP="00BC0E64">
      <w:pPr>
        <w:jc w:val="both"/>
      </w:pPr>
      <w:r>
        <w:t xml:space="preserve">Det er slik at hele </w:t>
      </w:r>
      <w:r w:rsidR="00BC0E64">
        <w:t xml:space="preserve">om lag </w:t>
      </w:r>
      <w:r>
        <w:t>38</w:t>
      </w:r>
      <w:r w:rsidR="00BC0E64">
        <w:t>8 000</w:t>
      </w:r>
      <w:r>
        <w:t xml:space="preserve"> av de virksomhetene som inngår i den totale statistikken hadde ingen ansatte i 2020. Ifølge SSB er i underkant av halvparten (ca. 45 </w:t>
      </w:r>
      <w:r w:rsidR="00BC0E64">
        <w:rPr>
          <w:rFonts w:eastAsia="Times New Roman"/>
          <w:lang w:eastAsia="nb-NO"/>
        </w:rPr>
        <w:t>prosent</w:t>
      </w:r>
      <w:r>
        <w:t xml:space="preserve">) av disse enkeltmannsforetak. Det eksisterer imidlertid også foretak uten ansatte innenfor aksjeselskap (AS), blant annet innen eiendomsforvaltning, varehandel, finansielle tjenester (holdingselskaper) og bygg- og anleggssektoren. Disse er derfor utelatt fra våre illustrasjoner. </w:t>
      </w:r>
    </w:p>
    <w:p w14:paraId="1BCD3BA9" w14:textId="77777777" w:rsidR="00AA61FD" w:rsidRDefault="00AA61FD" w:rsidP="00BC0E64">
      <w:pPr>
        <w:jc w:val="both"/>
      </w:pPr>
    </w:p>
    <w:p w14:paraId="2B768528" w14:textId="1D418E24" w:rsidR="00AA61FD" w:rsidRDefault="00AA61FD" w:rsidP="00BC0E64">
      <w:pPr>
        <w:jc w:val="both"/>
      </w:pPr>
      <w:r>
        <w:t xml:space="preserve">I figur </w:t>
      </w:r>
      <w:r w:rsidR="00513257">
        <w:t>2</w:t>
      </w:r>
      <w:r w:rsidR="00291BE2">
        <w:t>4</w:t>
      </w:r>
      <w:r>
        <w:t xml:space="preserve"> følger SSBs virksomhetsstatistikk der en fordeler bedriftene med registrerte ansatte inn i ulike størrelsesgrupper. Vi ser av figuren at rett i underkant av halvparten (49 </w:t>
      </w:r>
      <w:r w:rsidR="00BC0E64">
        <w:rPr>
          <w:rFonts w:eastAsia="Times New Roman"/>
          <w:lang w:eastAsia="nb-NO"/>
        </w:rPr>
        <w:t>prosent</w:t>
      </w:r>
      <w:r>
        <w:t xml:space="preserve">) av norske virksomheter med ansatte har 1 til 4 ansatte, etterfulgt av 20 </w:t>
      </w:r>
      <w:r w:rsidR="00C162C4">
        <w:rPr>
          <w:rFonts w:eastAsia="Times New Roman"/>
          <w:lang w:eastAsia="nb-NO"/>
        </w:rPr>
        <w:t>prosent</w:t>
      </w:r>
      <w:r>
        <w:t xml:space="preserve"> med 5 til 9 ansatte, 1</w:t>
      </w:r>
      <w:r w:rsidR="00C162C4">
        <w:t xml:space="preserve">5 </w:t>
      </w:r>
      <w:r w:rsidR="00C162C4">
        <w:rPr>
          <w:rFonts w:eastAsia="Times New Roman"/>
          <w:lang w:eastAsia="nb-NO"/>
        </w:rPr>
        <w:t>prosent</w:t>
      </w:r>
      <w:r>
        <w:t xml:space="preserve"> med 10 til 19 ansatte, 10</w:t>
      </w:r>
      <w:r w:rsidR="00C162C4">
        <w:t xml:space="preserve"> </w:t>
      </w:r>
      <w:r w:rsidR="00C162C4">
        <w:rPr>
          <w:rFonts w:eastAsia="Times New Roman"/>
          <w:lang w:eastAsia="nb-NO"/>
        </w:rPr>
        <w:t>prosent</w:t>
      </w:r>
      <w:r>
        <w:t xml:space="preserve"> med 20 til 49 ansatte, og 3</w:t>
      </w:r>
      <w:r w:rsidR="00C162C4">
        <w:t xml:space="preserve"> </w:t>
      </w:r>
      <w:r w:rsidR="00C162C4">
        <w:rPr>
          <w:rFonts w:eastAsia="Times New Roman"/>
          <w:lang w:eastAsia="nb-NO"/>
        </w:rPr>
        <w:t>prosent</w:t>
      </w:r>
      <w:r>
        <w:t xml:space="preserve"> med 50 til 99 ansatte. Det betyr at SMB-bedriftene utgjorde hele 98,2 </w:t>
      </w:r>
      <w:r w:rsidR="00C162C4">
        <w:rPr>
          <w:rFonts w:eastAsia="Times New Roman"/>
          <w:lang w:eastAsia="nb-NO"/>
        </w:rPr>
        <w:t>prosent</w:t>
      </w:r>
      <w:r>
        <w:t xml:space="preserve"> av de totalt 20</w:t>
      </w:r>
      <w:r w:rsidR="00C162C4">
        <w:t>3</w:t>
      </w:r>
      <w:r w:rsidR="002266FD">
        <w:t xml:space="preserve"> </w:t>
      </w:r>
      <w:r w:rsidR="00C162C4">
        <w:t>000</w:t>
      </w:r>
      <w:r>
        <w:t xml:space="preserve"> norske virksomhetene med registrerte ansatte i starten av 2020. Andelen virksomheter med 100 eller flere ansatte befant seg derfor på </w:t>
      </w:r>
      <w:r w:rsidR="00C162C4">
        <w:t>om lag</w:t>
      </w:r>
      <w:r>
        <w:t xml:space="preserve"> </w:t>
      </w:r>
      <w:r w:rsidR="00C162C4">
        <w:t xml:space="preserve">2 </w:t>
      </w:r>
      <w:r w:rsidR="00C162C4">
        <w:rPr>
          <w:rFonts w:eastAsia="Times New Roman"/>
          <w:lang w:eastAsia="nb-NO"/>
        </w:rPr>
        <w:t>prosent</w:t>
      </w:r>
      <w:r>
        <w:t xml:space="preserve"> på samme tidspunkt (1,4 </w:t>
      </w:r>
      <w:r w:rsidR="00C162C4">
        <w:rPr>
          <w:rFonts w:eastAsia="Times New Roman"/>
          <w:lang w:eastAsia="nb-NO"/>
        </w:rPr>
        <w:t>prosent</w:t>
      </w:r>
      <w:r>
        <w:t xml:space="preserve"> med 100 til 249 ansatte og 0,4 </w:t>
      </w:r>
      <w:r w:rsidR="00C37216">
        <w:t>prosent</w:t>
      </w:r>
      <w:r>
        <w:t xml:space="preserve"> med 250 ansatte og over).</w:t>
      </w:r>
    </w:p>
    <w:p w14:paraId="7CDF234C" w14:textId="77777777" w:rsidR="00AA61FD" w:rsidRDefault="00AA61FD" w:rsidP="00AA61FD">
      <w:pPr>
        <w:pStyle w:val="Bildetekst"/>
        <w:keepNext/>
      </w:pPr>
    </w:p>
    <w:p w14:paraId="175A1DA9" w14:textId="4DF24893" w:rsidR="00AA61FD" w:rsidRDefault="00AA61FD" w:rsidP="00AA61FD">
      <w:pPr>
        <w:pStyle w:val="Bildetekst"/>
        <w:keepNext/>
      </w:pPr>
      <w:r>
        <w:t xml:space="preserve">Figur </w:t>
      </w:r>
      <w:r w:rsidR="009A6A52">
        <w:fldChar w:fldCharType="begin"/>
      </w:r>
      <w:r w:rsidR="009A6A52">
        <w:instrText xml:space="preserve"> SEQ Figur \* ARABIC </w:instrText>
      </w:r>
      <w:r w:rsidR="009A6A52">
        <w:fldChar w:fldCharType="separate"/>
      </w:r>
      <w:r w:rsidR="000E2A6D">
        <w:rPr>
          <w:noProof/>
        </w:rPr>
        <w:t>24</w:t>
      </w:r>
      <w:r w:rsidR="009A6A52">
        <w:rPr>
          <w:noProof/>
        </w:rPr>
        <w:fldChar w:fldCharType="end"/>
      </w:r>
      <w:r>
        <w:t>: Fordeling av norske virksomheter, 2020. Inndelt etter størrelsesgruppe. Ekskludert virksomheter med ingen registrerte ansatte</w:t>
      </w:r>
    </w:p>
    <w:p w14:paraId="7730AA64" w14:textId="77777777" w:rsidR="00AA61FD" w:rsidRDefault="00AA61FD" w:rsidP="00AA61FD">
      <w:pPr>
        <w:rPr>
          <w:sz w:val="16"/>
          <w:szCs w:val="16"/>
        </w:rPr>
      </w:pPr>
      <w:r>
        <w:rPr>
          <w:noProof/>
        </w:rPr>
        <w:drawing>
          <wp:inline distT="0" distB="0" distL="0" distR="0" wp14:anchorId="6FAB32AE" wp14:editId="7A8D78D0">
            <wp:extent cx="5915025" cy="2657475"/>
            <wp:effectExtent l="0" t="0" r="0" b="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br/>
      </w:r>
      <w:r w:rsidRPr="00660761">
        <w:rPr>
          <w:sz w:val="16"/>
          <w:szCs w:val="16"/>
        </w:rPr>
        <w:t>Kilde: SSB</w:t>
      </w:r>
    </w:p>
    <w:p w14:paraId="2105C1E8" w14:textId="77777777" w:rsidR="00AA61FD" w:rsidRDefault="00AA61FD" w:rsidP="00AA61FD"/>
    <w:p w14:paraId="32DA2ABC" w14:textId="7176650A" w:rsidR="00AA61FD" w:rsidRDefault="00AA61FD" w:rsidP="00AA2EAB">
      <w:pPr>
        <w:jc w:val="both"/>
      </w:pPr>
      <w:r>
        <w:t>Totalt var det registrert nesten 200</w:t>
      </w:r>
      <w:r w:rsidR="002266FD">
        <w:t xml:space="preserve"> </w:t>
      </w:r>
      <w:r>
        <w:t xml:space="preserve">000 SMB-bedrifter i Norge i 2020, og i </w:t>
      </w:r>
      <w:r w:rsidRPr="00C37216">
        <w:rPr>
          <w:color w:val="000000" w:themeColor="text1"/>
        </w:rPr>
        <w:t>figur 2</w:t>
      </w:r>
      <w:r w:rsidR="00291BE2">
        <w:rPr>
          <w:color w:val="000000" w:themeColor="text1"/>
        </w:rPr>
        <w:t>5</w:t>
      </w:r>
      <w:r w:rsidRPr="00C37216">
        <w:rPr>
          <w:color w:val="000000" w:themeColor="text1"/>
        </w:rPr>
        <w:t xml:space="preserve"> </w:t>
      </w:r>
      <w:r>
        <w:t>under er antallet norske virksomheter brutt ned i ulike størrelsesgrupper basert på antall ansatte i virksomheten. Deretter ser man at den vanligste ansettelsesformen i virksomheter med registrerte ansatte er 1 til 4 ansatte (100</w:t>
      </w:r>
      <w:r w:rsidR="002266FD">
        <w:t xml:space="preserve"> </w:t>
      </w:r>
      <w:r>
        <w:t>3</w:t>
      </w:r>
      <w:r w:rsidR="00C162C4">
        <w:t>00</w:t>
      </w:r>
      <w:r>
        <w:t xml:space="preserve"> virksomheter), etterfulgt av 5 til 9 ansatte (41</w:t>
      </w:r>
      <w:r w:rsidR="00C162C4">
        <w:t> </w:t>
      </w:r>
      <w:r>
        <w:t>4</w:t>
      </w:r>
      <w:r w:rsidR="00C162C4">
        <w:t>00 virksomheter</w:t>
      </w:r>
      <w:r>
        <w:t>), 10 til 19 ansatte (30</w:t>
      </w:r>
      <w:r w:rsidR="00C162C4">
        <w:t> </w:t>
      </w:r>
      <w:r>
        <w:t>0</w:t>
      </w:r>
      <w:r w:rsidR="00C162C4">
        <w:t>00 virksomheter</w:t>
      </w:r>
      <w:r>
        <w:t>), 20 til 49 ansatte (21</w:t>
      </w:r>
      <w:r w:rsidR="00C162C4">
        <w:t> </w:t>
      </w:r>
      <w:r>
        <w:t>0</w:t>
      </w:r>
      <w:r w:rsidR="00C162C4">
        <w:t>00 virksomheter</w:t>
      </w:r>
      <w:r>
        <w:t>) og 50 til 99 ansatte (6</w:t>
      </w:r>
      <w:r w:rsidR="00C162C4">
        <w:t> </w:t>
      </w:r>
      <w:r>
        <w:t>3</w:t>
      </w:r>
      <w:r w:rsidR="00C162C4">
        <w:t>00 virksomheter</w:t>
      </w:r>
      <w:r>
        <w:t xml:space="preserve">). Alle de nevnte faller innenfor </w:t>
      </w:r>
      <w:r w:rsidR="00C162C4">
        <w:t xml:space="preserve">vanlige </w:t>
      </w:r>
      <w:r>
        <w:t>definisjone</w:t>
      </w:r>
      <w:r w:rsidR="00C162C4">
        <w:t>r</w:t>
      </w:r>
      <w:r>
        <w:t xml:space="preserve"> av en SMB-bedrift basert på antall ansatte, og </w:t>
      </w:r>
      <w:r w:rsidR="00C162C4">
        <w:t xml:space="preserve">disse </w:t>
      </w:r>
      <w:r>
        <w:t>utgjør</w:t>
      </w:r>
      <w:r w:rsidR="00C162C4">
        <w:t xml:space="preserve"> til sammen</w:t>
      </w:r>
      <w:r>
        <w:t xml:space="preserve"> den klare majoriteten av det totale antallet virksomheter i Norge. </w:t>
      </w:r>
    </w:p>
    <w:p w14:paraId="32A6FD37" w14:textId="77777777" w:rsidR="00AA2EAB" w:rsidRDefault="00AA2EAB" w:rsidP="00AA61FD">
      <w:pPr>
        <w:pStyle w:val="Bildetekst"/>
        <w:keepNext/>
      </w:pPr>
    </w:p>
    <w:p w14:paraId="76A64D87" w14:textId="6FEF6493" w:rsidR="00AA61FD" w:rsidRDefault="00AA61FD" w:rsidP="00AA61FD">
      <w:pPr>
        <w:pStyle w:val="Bildetekst"/>
        <w:keepNext/>
      </w:pPr>
      <w:r>
        <w:t xml:space="preserve">Figur </w:t>
      </w:r>
      <w:r w:rsidR="009A6A52">
        <w:fldChar w:fldCharType="begin"/>
      </w:r>
      <w:r w:rsidR="009A6A52">
        <w:instrText xml:space="preserve"> SEQ Figur \* ARABIC </w:instrText>
      </w:r>
      <w:r w:rsidR="009A6A52">
        <w:fldChar w:fldCharType="separate"/>
      </w:r>
      <w:r w:rsidR="00291BE2">
        <w:rPr>
          <w:noProof/>
        </w:rPr>
        <w:t>25</w:t>
      </w:r>
      <w:r w:rsidR="009A6A52">
        <w:rPr>
          <w:noProof/>
        </w:rPr>
        <w:fldChar w:fldCharType="end"/>
      </w:r>
      <w:r>
        <w:t>: Antall virksomheter i Norge med ansatte, 2020. Inndelt etter størrelsesgruppe</w:t>
      </w:r>
    </w:p>
    <w:p w14:paraId="64F92F13" w14:textId="77777777" w:rsidR="00AA61FD" w:rsidRDefault="00AA61FD" w:rsidP="00AA61FD">
      <w:pPr>
        <w:rPr>
          <w:sz w:val="16"/>
          <w:szCs w:val="16"/>
        </w:rPr>
      </w:pPr>
      <w:r>
        <w:rPr>
          <w:noProof/>
        </w:rPr>
        <w:drawing>
          <wp:inline distT="0" distB="0" distL="0" distR="0" wp14:anchorId="1FBD9393" wp14:editId="4B9D2C55">
            <wp:extent cx="5581650" cy="2077720"/>
            <wp:effectExtent l="0" t="0" r="0"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660761">
        <w:rPr>
          <w:sz w:val="16"/>
          <w:szCs w:val="16"/>
        </w:rPr>
        <w:t>Kilde: SSB</w:t>
      </w:r>
    </w:p>
    <w:p w14:paraId="468FCFA2" w14:textId="627EBCF8" w:rsidR="00AA61FD" w:rsidRDefault="00AA61FD" w:rsidP="00AA61FD">
      <w:pPr>
        <w:rPr>
          <w:rStyle w:val="Overskrift2Tegn"/>
        </w:rPr>
      </w:pPr>
    </w:p>
    <w:p w14:paraId="7CC4AE9E" w14:textId="0868B21A" w:rsidR="00AA61FD" w:rsidRDefault="00AA61FD" w:rsidP="00C162C4">
      <w:pPr>
        <w:jc w:val="both"/>
      </w:pPr>
      <w:bookmarkStart w:id="20" w:name="_Toc52177868"/>
      <w:r w:rsidRPr="00320E29">
        <w:rPr>
          <w:rStyle w:val="Overskrift3Tegn"/>
          <w:color w:val="000000" w:themeColor="text1"/>
        </w:rPr>
        <w:t>Sysselsetting</w:t>
      </w:r>
      <w:bookmarkEnd w:id="20"/>
      <w:r>
        <w:br/>
        <w:t xml:space="preserve">SMB-bedriftene står også for en stor andel av sysselsettingen i norske foretak. Figur </w:t>
      </w:r>
      <w:r w:rsidR="00C162C4">
        <w:t>2</w:t>
      </w:r>
      <w:r w:rsidR="00291BE2">
        <w:t>6</w:t>
      </w:r>
      <w:r>
        <w:t xml:space="preserve"> og </w:t>
      </w:r>
      <w:r w:rsidR="00C162C4">
        <w:t>2</w:t>
      </w:r>
      <w:r w:rsidR="00291BE2">
        <w:t>7</w:t>
      </w:r>
      <w:r>
        <w:t xml:space="preserve"> viser fordelingen av sysselsatte i disse foretakene, inndelt etter antall ansatte i foretaket de er ansatt i. Fordelingen i figur</w:t>
      </w:r>
      <w:r w:rsidR="008C2545">
        <w:t xml:space="preserve"> 26</w:t>
      </w:r>
      <w:r>
        <w:t xml:space="preserve"> illustrerer først at SMB-bedrifter sto for over halvparten (55 </w:t>
      </w:r>
      <w:r w:rsidR="00C162C4">
        <w:rPr>
          <w:rFonts w:eastAsia="Times New Roman"/>
          <w:lang w:eastAsia="nb-NO"/>
        </w:rPr>
        <w:t>prosent</w:t>
      </w:r>
      <w:r>
        <w:t>) av sysselsettingen i norske foretak i 2019. SSB har utelatt offentlig forvaltning</w:t>
      </w:r>
      <w:r>
        <w:rPr>
          <w:rStyle w:val="Fotnotereferanse"/>
        </w:rPr>
        <w:footnoteReference w:id="1"/>
      </w:r>
      <w:r>
        <w:t xml:space="preserve"> og primærnæringene</w:t>
      </w:r>
      <w:r>
        <w:rPr>
          <w:rStyle w:val="Fotnotereferanse"/>
        </w:rPr>
        <w:footnoteReference w:id="2"/>
      </w:r>
      <w:r>
        <w:t xml:space="preserve">  fra denne inndelingen av sysselsatte etter størrelses</w:t>
      </w:r>
      <w:r w:rsidR="00C162C4">
        <w:t>-</w:t>
      </w:r>
      <w:r>
        <w:t xml:space="preserve">grupper, da det for eksempel for sistnevnte er slik at det er sekundærnæringene og industrien som videreforedler råvarene fra primærnæringene. </w:t>
      </w:r>
    </w:p>
    <w:p w14:paraId="206BE314" w14:textId="62D6FBE7" w:rsidR="00AA61FD" w:rsidRDefault="00AA61FD" w:rsidP="00AA61FD">
      <w:pPr>
        <w:pStyle w:val="Bildetekst"/>
        <w:keepNext/>
      </w:pPr>
      <w:r>
        <w:lastRenderedPageBreak/>
        <w:t xml:space="preserve">Figur </w:t>
      </w:r>
      <w:r w:rsidR="009A6A52">
        <w:fldChar w:fldCharType="begin"/>
      </w:r>
      <w:r w:rsidR="009A6A52">
        <w:instrText xml:space="preserve"> SEQ Figur \* ARABIC </w:instrText>
      </w:r>
      <w:r w:rsidR="009A6A52">
        <w:fldChar w:fldCharType="separate"/>
      </w:r>
      <w:r w:rsidR="00291BE2">
        <w:rPr>
          <w:noProof/>
        </w:rPr>
        <w:t>26</w:t>
      </w:r>
      <w:r w:rsidR="009A6A52">
        <w:rPr>
          <w:noProof/>
        </w:rPr>
        <w:fldChar w:fldCharType="end"/>
      </w:r>
      <w:r>
        <w:t>: Fordeling av sysselsatte i norske foretak, 2019. Foretak unntatt offentlig forvaltning og primærnæringene</w:t>
      </w:r>
    </w:p>
    <w:p w14:paraId="65F33D85" w14:textId="67E13895" w:rsidR="00AA61FD" w:rsidRDefault="00AA61FD" w:rsidP="00C162C4">
      <w:pPr>
        <w:jc w:val="both"/>
      </w:pPr>
      <w:r>
        <w:rPr>
          <w:noProof/>
        </w:rPr>
        <w:drawing>
          <wp:inline distT="0" distB="0" distL="0" distR="0" wp14:anchorId="2E6E1367" wp14:editId="4FEB1176">
            <wp:extent cx="5667375" cy="3505200"/>
            <wp:effectExtent l="0" t="0" r="0" b="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br/>
      </w:r>
      <w:r w:rsidRPr="00660761">
        <w:rPr>
          <w:sz w:val="16"/>
          <w:szCs w:val="16"/>
        </w:rPr>
        <w:t>Kilde: SSB</w:t>
      </w:r>
      <w:r>
        <w:br/>
      </w:r>
      <w:r>
        <w:br/>
        <w:t xml:space="preserve">Figur </w:t>
      </w:r>
      <w:r w:rsidR="00C162C4">
        <w:t>2</w:t>
      </w:r>
      <w:r w:rsidR="00291BE2">
        <w:t>7</w:t>
      </w:r>
      <w:r>
        <w:t xml:space="preserve"> bryter igjen ned denne fordelingen på flere størrelsesgrupper etter antall ansatte i foretaket, der en ser at sysselsettingen i SMB-bedrifter lå på rett overkant av 1 million ansatte totalt i 2019. Blant SMB-bedriftene var det flest sysselsatte i bedriftsstørrelsen med mellom 20 og 49 ansatte i 2019, tilsvarende 285</w:t>
      </w:r>
      <w:r w:rsidR="002266FD">
        <w:t xml:space="preserve"> </w:t>
      </w:r>
      <w:r w:rsidR="00C162C4">
        <w:t>000</w:t>
      </w:r>
      <w:r>
        <w:t xml:space="preserve"> ansatte totalt. Nest flest sysselsatte innen SMB-segmentet finner en innen bedrifter med 10 til 19 ansatte (225</w:t>
      </w:r>
      <w:r w:rsidR="002266FD">
        <w:t xml:space="preserve"> </w:t>
      </w:r>
      <w:r w:rsidR="00C162C4">
        <w:t>000</w:t>
      </w:r>
      <w:r>
        <w:t>), etterfulgt av bedrifter med 5 til 9 ansatte (17</w:t>
      </w:r>
      <w:r w:rsidR="00C162C4">
        <w:t>8 000</w:t>
      </w:r>
      <w:r>
        <w:t>). Samme år var det sysselsatt 17</w:t>
      </w:r>
      <w:r w:rsidR="00C162C4">
        <w:t>6 000</w:t>
      </w:r>
      <w:r>
        <w:t xml:space="preserve"> personer i bedrifter med 50 til 99 ansatte, mens det var registrert 16</w:t>
      </w:r>
      <w:r w:rsidR="00C162C4">
        <w:t>3 000</w:t>
      </w:r>
      <w:r>
        <w:t xml:space="preserve"> sysselsatte i bedrifter med den minste størrelsesgruppen på 1 til 4 ansatte. Sysselsettingsandelen på 44</w:t>
      </w:r>
      <w:r w:rsidR="00C162C4">
        <w:t xml:space="preserve"> </w:t>
      </w:r>
      <w:r w:rsidR="00C162C4">
        <w:rPr>
          <w:rFonts w:eastAsia="Times New Roman"/>
          <w:lang w:eastAsia="nb-NO"/>
        </w:rPr>
        <w:t>prosent</w:t>
      </w:r>
      <w:r>
        <w:t xml:space="preserve"> fra figur </w:t>
      </w:r>
      <w:r w:rsidR="00C162C4">
        <w:t>2</w:t>
      </w:r>
      <w:r w:rsidR="00E267EF">
        <w:t>7</w:t>
      </w:r>
      <w:r>
        <w:t xml:space="preserve"> som illustrerer store bedrifter med 100 eller flere ansatte utgjorde hele 814</w:t>
      </w:r>
      <w:r w:rsidR="002266FD">
        <w:t xml:space="preserve"> </w:t>
      </w:r>
      <w:r w:rsidR="00C162C4">
        <w:t>000</w:t>
      </w:r>
      <w:r>
        <w:t xml:space="preserve"> årsverk i norske foretak i 2019.</w:t>
      </w:r>
    </w:p>
    <w:p w14:paraId="3F8C0D8E" w14:textId="179641E6" w:rsidR="00AA61FD" w:rsidRDefault="00AA61FD" w:rsidP="00AA61FD"/>
    <w:p w14:paraId="7AF0CC2F" w14:textId="6C8AB836" w:rsidR="00AA61FD" w:rsidRDefault="00AA61FD" w:rsidP="00AA61FD">
      <w:pPr>
        <w:pStyle w:val="Bildetekst"/>
        <w:keepNext/>
      </w:pPr>
      <w:r>
        <w:lastRenderedPageBreak/>
        <w:t xml:space="preserve">Figur </w:t>
      </w:r>
      <w:r w:rsidR="009A6A52">
        <w:fldChar w:fldCharType="begin"/>
      </w:r>
      <w:r w:rsidR="009A6A52">
        <w:instrText xml:space="preserve"> SEQ F</w:instrText>
      </w:r>
      <w:r w:rsidR="009A6A52">
        <w:instrText xml:space="preserve">igur \* ARABIC </w:instrText>
      </w:r>
      <w:r w:rsidR="009A6A52">
        <w:fldChar w:fldCharType="separate"/>
      </w:r>
      <w:r w:rsidR="008C2545">
        <w:rPr>
          <w:noProof/>
        </w:rPr>
        <w:t>27</w:t>
      </w:r>
      <w:r w:rsidR="009A6A52">
        <w:rPr>
          <w:noProof/>
        </w:rPr>
        <w:fldChar w:fldCharType="end"/>
      </w:r>
      <w:r>
        <w:t xml:space="preserve">: </w:t>
      </w:r>
      <w:r w:rsidRPr="00A47617">
        <w:t>Fordeling av sysselsatte i norske foretak, 2019. Inndelt etter størrelsesgruppe. Foretak unntatt offentlig forvaltning og primærnæringene</w:t>
      </w:r>
    </w:p>
    <w:p w14:paraId="02D631D8" w14:textId="77777777" w:rsidR="00AA61FD" w:rsidRDefault="00AA61FD" w:rsidP="00AA61FD">
      <w:pPr>
        <w:rPr>
          <w:sz w:val="16"/>
          <w:szCs w:val="16"/>
        </w:rPr>
      </w:pPr>
      <w:r>
        <w:rPr>
          <w:noProof/>
        </w:rPr>
        <w:drawing>
          <wp:inline distT="0" distB="0" distL="0" distR="0" wp14:anchorId="0809BACE" wp14:editId="785029A1">
            <wp:extent cx="5486400" cy="4724400"/>
            <wp:effectExtent l="0" t="0" r="0" b="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br/>
      </w:r>
      <w:r w:rsidRPr="00660761">
        <w:rPr>
          <w:sz w:val="16"/>
          <w:szCs w:val="16"/>
        </w:rPr>
        <w:t>Kilde: SSB</w:t>
      </w:r>
    </w:p>
    <w:p w14:paraId="3798BBA8" w14:textId="59D81D41" w:rsidR="00AA61FD" w:rsidRDefault="00AA61FD" w:rsidP="00C162C4">
      <w:pPr>
        <w:jc w:val="both"/>
      </w:pPr>
      <w:r>
        <w:br/>
      </w:r>
      <w:r>
        <w:br/>
      </w:r>
      <w:bookmarkStart w:id="21" w:name="_Toc52177869"/>
      <w:r w:rsidRPr="00320E29">
        <w:rPr>
          <w:rStyle w:val="Overskrift3Tegn"/>
          <w:color w:val="000000" w:themeColor="text1"/>
        </w:rPr>
        <w:t>Omsetning</w:t>
      </w:r>
      <w:bookmarkEnd w:id="21"/>
      <w:r>
        <w:br/>
      </w:r>
      <w:r w:rsidR="00E267EF">
        <w:t>Også innen</w:t>
      </w:r>
      <w:r>
        <w:t xml:space="preserve"> omsetningen i norske foretak utgjorde SMB-bedriftene en betydelig andel (44,6 </w:t>
      </w:r>
      <w:r w:rsidR="00C162C4">
        <w:rPr>
          <w:rFonts w:eastAsia="Times New Roman"/>
          <w:lang w:eastAsia="nb-NO"/>
        </w:rPr>
        <w:t>prosent</w:t>
      </w:r>
      <w:r>
        <w:t xml:space="preserve">) av den totale omsetningen i 2018. Figur </w:t>
      </w:r>
      <w:r w:rsidR="00C162C4">
        <w:t>2</w:t>
      </w:r>
      <w:r w:rsidR="00E267EF">
        <w:t>8</w:t>
      </w:r>
      <w:r>
        <w:t xml:space="preserve"> viser dette, mens figur </w:t>
      </w:r>
      <w:r w:rsidR="00C162C4">
        <w:t>2</w:t>
      </w:r>
      <w:r w:rsidR="00E267EF">
        <w:t>9</w:t>
      </w:r>
      <w:r>
        <w:t xml:space="preserve"> viser de faktiske omsetningstallene i SMB-bedrifter og større bedrifter hver for seg. I figur </w:t>
      </w:r>
      <w:r w:rsidR="00C162C4">
        <w:t>2</w:t>
      </w:r>
      <w:r w:rsidR="00E267EF">
        <w:t>9</w:t>
      </w:r>
      <w:r>
        <w:t xml:space="preserve"> ser </w:t>
      </w:r>
      <w:r w:rsidR="00C162C4">
        <w:t>man</w:t>
      </w:r>
      <w:r>
        <w:t xml:space="preserve"> at omsetningen er nokså jevnt fordelt mellom de sju ulike størrelsesgruppene, i noe varierende grad fra 6 til 12 </w:t>
      </w:r>
      <w:r w:rsidR="00C162C4">
        <w:rPr>
          <w:rFonts w:eastAsia="Times New Roman"/>
          <w:lang w:eastAsia="nb-NO"/>
        </w:rPr>
        <w:t>prosent</w:t>
      </w:r>
      <w:r>
        <w:t>.</w:t>
      </w:r>
    </w:p>
    <w:p w14:paraId="7963E7DB" w14:textId="77777777" w:rsidR="00AA61FD" w:rsidRDefault="00AA61FD" w:rsidP="00AA61FD">
      <w:r>
        <w:br/>
      </w:r>
    </w:p>
    <w:p w14:paraId="08C2B5DF" w14:textId="20C9F405" w:rsidR="00AA61FD" w:rsidRDefault="00AA61FD" w:rsidP="00AA61FD">
      <w:pPr>
        <w:pStyle w:val="Bildetekst"/>
        <w:keepNext/>
      </w:pPr>
      <w:r>
        <w:lastRenderedPageBreak/>
        <w:t xml:space="preserve">Figur </w:t>
      </w:r>
      <w:r w:rsidR="009A6A52">
        <w:fldChar w:fldCharType="begin"/>
      </w:r>
      <w:r w:rsidR="009A6A52">
        <w:instrText xml:space="preserve"> SEQ Figur \* ARABIC </w:instrText>
      </w:r>
      <w:r w:rsidR="009A6A52">
        <w:fldChar w:fldCharType="separate"/>
      </w:r>
      <w:r w:rsidR="00E267EF">
        <w:rPr>
          <w:noProof/>
        </w:rPr>
        <w:t>28</w:t>
      </w:r>
      <w:r w:rsidR="009A6A52">
        <w:rPr>
          <w:noProof/>
        </w:rPr>
        <w:fldChar w:fldCharType="end"/>
      </w:r>
      <w:r>
        <w:t xml:space="preserve">: </w:t>
      </w:r>
      <w:r w:rsidRPr="00314065">
        <w:t xml:space="preserve">Fordeling av </w:t>
      </w:r>
      <w:r>
        <w:t>omsetning</w:t>
      </w:r>
      <w:r w:rsidRPr="00314065">
        <w:t xml:space="preserve"> i norske foretak, 201</w:t>
      </w:r>
      <w:r>
        <w:t>8</w:t>
      </w:r>
      <w:r w:rsidRPr="00314065">
        <w:t>. Foretak unntatt offentlig forvaltning og primærnæringene</w:t>
      </w:r>
    </w:p>
    <w:p w14:paraId="30C7E27C" w14:textId="77777777" w:rsidR="00AA61FD" w:rsidRDefault="00AA61FD" w:rsidP="00AA61FD">
      <w:r>
        <w:rPr>
          <w:noProof/>
        </w:rPr>
        <w:drawing>
          <wp:inline distT="0" distB="0" distL="0" distR="0" wp14:anchorId="3659F98E" wp14:editId="34C77E00">
            <wp:extent cx="5667375" cy="3505200"/>
            <wp:effectExtent l="0" t="0" r="0" b="0"/>
            <wp:docPr id="53" name="Diagram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br/>
      </w:r>
      <w:r w:rsidRPr="00660761">
        <w:rPr>
          <w:sz w:val="16"/>
          <w:szCs w:val="16"/>
        </w:rPr>
        <w:t>Kilde: SSB</w:t>
      </w:r>
      <w:r>
        <w:br/>
      </w:r>
    </w:p>
    <w:p w14:paraId="7F488AE8" w14:textId="29E4616E" w:rsidR="00AA61FD" w:rsidRDefault="00AA61FD" w:rsidP="00C162C4">
      <w:pPr>
        <w:jc w:val="both"/>
      </w:pPr>
      <w:r>
        <w:t xml:space="preserve">Figur </w:t>
      </w:r>
      <w:r w:rsidR="00C162C4">
        <w:t>2</w:t>
      </w:r>
      <w:r w:rsidR="00E267EF">
        <w:t>9</w:t>
      </w:r>
      <w:r>
        <w:t xml:space="preserve"> demonstrerer at omsetningen fra SMB-bedriftene var høyere enn de store bedriftene i både 2014 og 2016, med en total omsetning på henholdsvis 2</w:t>
      </w:r>
      <w:r w:rsidR="00917CC8">
        <w:t xml:space="preserve"> </w:t>
      </w:r>
      <w:r>
        <w:t>90</w:t>
      </w:r>
      <w:r w:rsidR="00C162C4">
        <w:t>0</w:t>
      </w:r>
      <w:r>
        <w:t xml:space="preserve"> og 2</w:t>
      </w:r>
      <w:r w:rsidR="00917CC8">
        <w:t xml:space="preserve"> </w:t>
      </w:r>
      <w:r>
        <w:t>58</w:t>
      </w:r>
      <w:r w:rsidR="00C162C4">
        <w:t>0</w:t>
      </w:r>
      <w:r>
        <w:t xml:space="preserve"> m</w:t>
      </w:r>
      <w:r w:rsidR="00917CC8">
        <w:t>rd.</w:t>
      </w:r>
      <w:r>
        <w:t xml:space="preserve"> kroner disse årene. Disse omsetningstallene er unntatt offentlig forvaltning og primærnæringene, men illustrerer likevel at bidragene fra SMB-bedriftene er svært høye. I 2018 befant den totale omsetningen i SMB-bedriftene seg på 2</w:t>
      </w:r>
      <w:r w:rsidR="00917CC8">
        <w:t xml:space="preserve"> </w:t>
      </w:r>
      <w:r>
        <w:t>84</w:t>
      </w:r>
      <w:r w:rsidR="00C162C4">
        <w:t>0</w:t>
      </w:r>
      <w:r>
        <w:t xml:space="preserve"> mrd. For sistnevnte tilsvarte dette rett i overkant av to utgiftssider i det norske statsbudsjettet samme år</w:t>
      </w:r>
      <w:r>
        <w:rPr>
          <w:rStyle w:val="Fotnotereferanse"/>
        </w:rPr>
        <w:footnoteReference w:id="3"/>
      </w:r>
      <w:r>
        <w:t xml:space="preserve">, </w:t>
      </w:r>
      <w:r w:rsidR="00C162C4">
        <w:t>noe som illustrerer</w:t>
      </w:r>
      <w:r>
        <w:t xml:space="preserve"> at SMB-bedriftene skaper enorme verdier og er </w:t>
      </w:r>
      <w:r w:rsidR="00C162C4">
        <w:t>avgjørende</w:t>
      </w:r>
      <w:r>
        <w:t xml:space="preserve"> for det norske velferdssamfunnet. </w:t>
      </w:r>
    </w:p>
    <w:p w14:paraId="04A1C93B" w14:textId="1C41809D" w:rsidR="00AA61FD" w:rsidRDefault="00AA61FD" w:rsidP="00AA61FD">
      <w:pPr>
        <w:pStyle w:val="Bildetekst"/>
        <w:keepNext/>
      </w:pPr>
      <w:r>
        <w:lastRenderedPageBreak/>
        <w:t xml:space="preserve">Figur </w:t>
      </w:r>
      <w:r w:rsidR="009A6A52">
        <w:fldChar w:fldCharType="begin"/>
      </w:r>
      <w:r w:rsidR="009A6A52">
        <w:instrText xml:space="preserve"> SEQ Figur \* ARABIC </w:instrText>
      </w:r>
      <w:r w:rsidR="009A6A52">
        <w:fldChar w:fldCharType="separate"/>
      </w:r>
      <w:r w:rsidR="008C2545">
        <w:rPr>
          <w:noProof/>
        </w:rPr>
        <w:t>29</w:t>
      </w:r>
      <w:r w:rsidR="009A6A52">
        <w:rPr>
          <w:noProof/>
        </w:rPr>
        <w:fldChar w:fldCharType="end"/>
      </w:r>
      <w:r>
        <w:t xml:space="preserve">: </w:t>
      </w:r>
      <w:r w:rsidRPr="0023403B">
        <w:t>Omsetning i norske foretak, 2018. Foretak unntatt offentlig forvaltning og primærnæringene</w:t>
      </w:r>
      <w:r>
        <w:t>. Mrd. kroner</w:t>
      </w:r>
    </w:p>
    <w:p w14:paraId="4DB19561" w14:textId="77777777" w:rsidR="00AA61FD" w:rsidRDefault="00AA61FD" w:rsidP="00AA61FD">
      <w:r>
        <w:rPr>
          <w:noProof/>
        </w:rPr>
        <w:drawing>
          <wp:inline distT="0" distB="0" distL="0" distR="0" wp14:anchorId="64398F6E" wp14:editId="0F40491A">
            <wp:extent cx="5711483" cy="3848100"/>
            <wp:effectExtent l="0" t="0" r="3810" b="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br/>
      </w:r>
      <w:r w:rsidRPr="00660761">
        <w:rPr>
          <w:sz w:val="16"/>
          <w:szCs w:val="16"/>
        </w:rPr>
        <w:t>Kilde: SSB</w:t>
      </w:r>
      <w:r>
        <w:rPr>
          <w:sz w:val="16"/>
          <w:szCs w:val="16"/>
        </w:rPr>
        <w:br/>
      </w:r>
    </w:p>
    <w:p w14:paraId="35C21508" w14:textId="2A55A34A" w:rsidR="00320E29" w:rsidRPr="00320E29" w:rsidRDefault="00AA61FD" w:rsidP="00C162C4">
      <w:pPr>
        <w:pStyle w:val="Overskrift3"/>
      </w:pPr>
      <w:r>
        <w:br/>
      </w:r>
      <w:bookmarkStart w:id="22" w:name="_Toc52177870"/>
      <w:r w:rsidRPr="00320E29">
        <w:rPr>
          <w:rStyle w:val="Overskrift2Tegn"/>
          <w:b/>
          <w:color w:val="000000" w:themeColor="text1"/>
          <w:sz w:val="24"/>
          <w:szCs w:val="24"/>
        </w:rPr>
        <w:t>Næringsfordeling</w:t>
      </w:r>
      <w:bookmarkEnd w:id="22"/>
      <w:r w:rsidRPr="00320E29">
        <w:br/>
      </w:r>
    </w:p>
    <w:p w14:paraId="00CA999C" w14:textId="3E02D3CD" w:rsidR="00C162C4" w:rsidRDefault="00AA61FD" w:rsidP="00C162C4">
      <w:pPr>
        <w:jc w:val="both"/>
      </w:pPr>
      <w:r>
        <w:t xml:space="preserve">Figur </w:t>
      </w:r>
      <w:r w:rsidR="00E267EF">
        <w:t>30</w:t>
      </w:r>
      <w:r>
        <w:t xml:space="preserve"> viser næringsfordelingen av registrerte virksomheter i starten av 2020. Det var soleklart flest virksomheter med ingen ansatte innenfor samtlige av de næringene som er presentert i figuren. En finner det høyeste tallet virksomheter med ingen ansatte innen jordbruk, skogbruk og fiske, med hele 58</w:t>
      </w:r>
      <w:r w:rsidR="00917CC8">
        <w:t xml:space="preserve"> </w:t>
      </w:r>
      <w:r>
        <w:t>500 virksomheter i 2020. Når det gjelder virksomheter med 1-4 ansatte eksisterte det et stort antall av disse innen bygg og anlegg (14</w:t>
      </w:r>
      <w:r w:rsidR="00917CC8">
        <w:t xml:space="preserve"> </w:t>
      </w:r>
      <w:r>
        <w:t>3</w:t>
      </w:r>
      <w:r w:rsidR="00C162C4">
        <w:t>00</w:t>
      </w:r>
      <w:r>
        <w:t>), varehandelen (16</w:t>
      </w:r>
      <w:r w:rsidR="00917CC8">
        <w:t xml:space="preserve"> </w:t>
      </w:r>
      <w:r w:rsidR="00C162C4">
        <w:t>400</w:t>
      </w:r>
      <w:r>
        <w:t>) og faglig tjenesteyting (13</w:t>
      </w:r>
      <w:r w:rsidR="00917CC8">
        <w:t xml:space="preserve"> </w:t>
      </w:r>
      <w:r w:rsidR="00C162C4">
        <w:t>000</w:t>
      </w:r>
      <w:r>
        <w:t>). Videre var det også klart flest virksomheter med både 5 til 9 og 10 til 19 registrerte ansatte innen varehandelen (13</w:t>
      </w:r>
      <w:r w:rsidR="00917CC8">
        <w:t xml:space="preserve"> </w:t>
      </w:r>
      <w:r>
        <w:t>3</w:t>
      </w:r>
      <w:r w:rsidR="00C162C4">
        <w:t>00</w:t>
      </w:r>
      <w:r>
        <w:t xml:space="preserve"> og 8</w:t>
      </w:r>
      <w:r w:rsidR="00917CC8">
        <w:t xml:space="preserve"> </w:t>
      </w:r>
      <w:r w:rsidR="00C162C4">
        <w:t>200</w:t>
      </w:r>
      <w:r>
        <w:t>), mens det blant annet var nest flest virksomheter med 10 til 19 ansatte i helse- og sosialtjenester.</w:t>
      </w:r>
    </w:p>
    <w:p w14:paraId="4B68C1D5" w14:textId="48911475" w:rsidR="00AA61FD" w:rsidRDefault="00AA61FD" w:rsidP="00C162C4">
      <w:pPr>
        <w:jc w:val="both"/>
      </w:pPr>
      <w:r>
        <w:br/>
      </w:r>
    </w:p>
    <w:p w14:paraId="0CE0F1F5" w14:textId="5E36E466" w:rsidR="00AA61FD" w:rsidRDefault="00AA61FD" w:rsidP="00AA61FD">
      <w:pPr>
        <w:pStyle w:val="Bildetekst"/>
        <w:keepNext/>
      </w:pPr>
      <w:r>
        <w:lastRenderedPageBreak/>
        <w:t xml:space="preserve">Figur </w:t>
      </w:r>
      <w:r w:rsidR="009A6A52">
        <w:fldChar w:fldCharType="begin"/>
      </w:r>
      <w:r w:rsidR="009A6A52">
        <w:instrText xml:space="preserve"> SEQ Figur \* ARABIC </w:instrText>
      </w:r>
      <w:r w:rsidR="009A6A52">
        <w:fldChar w:fldCharType="separate"/>
      </w:r>
      <w:r w:rsidR="00E267EF">
        <w:rPr>
          <w:noProof/>
        </w:rPr>
        <w:t>30</w:t>
      </w:r>
      <w:r w:rsidR="009A6A52">
        <w:rPr>
          <w:noProof/>
        </w:rPr>
        <w:fldChar w:fldCharType="end"/>
      </w:r>
      <w:r>
        <w:t>: Fordeling av</w:t>
      </w:r>
      <w:r w:rsidRPr="004325C6">
        <w:t xml:space="preserve"> virksomheter i </w:t>
      </w:r>
      <w:r>
        <w:t>norske næringer med under 100 ansatte</w:t>
      </w:r>
      <w:r w:rsidRPr="004325C6">
        <w:t>, 2020. Inndelt etter størrelsesgruppe</w:t>
      </w:r>
      <w:r>
        <w:t>.</w:t>
      </w:r>
    </w:p>
    <w:p w14:paraId="2CAEF4DC" w14:textId="77777777" w:rsidR="00AA61FD" w:rsidRDefault="00AA61FD" w:rsidP="00AA61FD">
      <w:r>
        <w:rPr>
          <w:noProof/>
        </w:rPr>
        <w:drawing>
          <wp:inline distT="0" distB="0" distL="0" distR="0" wp14:anchorId="304131A1" wp14:editId="5019B665">
            <wp:extent cx="5715000" cy="6353175"/>
            <wp:effectExtent l="0" t="0" r="0" b="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660761">
        <w:rPr>
          <w:sz w:val="16"/>
          <w:szCs w:val="16"/>
        </w:rPr>
        <w:t>Kilde: SSB</w:t>
      </w:r>
    </w:p>
    <w:p w14:paraId="4EF45FE2" w14:textId="77777777" w:rsidR="00AA61FD" w:rsidRDefault="00AA61FD" w:rsidP="00AA61FD">
      <w:r>
        <w:br/>
      </w:r>
      <w:r>
        <w:br/>
      </w:r>
      <w:r>
        <w:br/>
      </w:r>
    </w:p>
    <w:p w14:paraId="100F3147" w14:textId="77777777" w:rsidR="00AA61FD" w:rsidRDefault="00AA61FD" w:rsidP="00AA61FD">
      <w:pPr>
        <w:spacing w:line="240" w:lineRule="auto"/>
        <w:rPr>
          <w:b/>
          <w:iCs/>
          <w:color w:val="2E74B5" w:themeColor="accent1" w:themeShade="BF"/>
          <w:sz w:val="28"/>
        </w:rPr>
      </w:pPr>
      <w:r>
        <w:br w:type="page"/>
      </w:r>
    </w:p>
    <w:p w14:paraId="31E231E8" w14:textId="7E5383DE" w:rsidR="00AA61FD" w:rsidRDefault="00AA61FD" w:rsidP="00AA61FD">
      <w:pPr>
        <w:pStyle w:val="Overskrift1"/>
      </w:pPr>
      <w:bookmarkStart w:id="23" w:name="_Toc52177871"/>
      <w:r>
        <w:lastRenderedPageBreak/>
        <w:t>A</w:t>
      </w:r>
      <w:r w:rsidR="00BF1486">
        <w:t>P</w:t>
      </w:r>
      <w:r>
        <w:t>PENDIKS</w:t>
      </w:r>
      <w:bookmarkEnd w:id="23"/>
    </w:p>
    <w:p w14:paraId="4DA16533" w14:textId="77777777" w:rsidR="00AA61FD" w:rsidRDefault="00AA61FD" w:rsidP="00AA61FD">
      <w:pPr>
        <w:pStyle w:val="Bildetekst"/>
        <w:keepNext/>
        <w:rPr>
          <w:sz w:val="20"/>
          <w:szCs w:val="22"/>
        </w:rPr>
      </w:pPr>
    </w:p>
    <w:p w14:paraId="43B44027" w14:textId="77777777" w:rsidR="00AA61FD" w:rsidRPr="009A0374" w:rsidRDefault="00AA61FD" w:rsidP="00AA61FD">
      <w:pPr>
        <w:pStyle w:val="Bildetekst"/>
        <w:keepNext/>
        <w:rPr>
          <w:sz w:val="20"/>
          <w:szCs w:val="22"/>
        </w:rPr>
      </w:pPr>
      <w:r w:rsidRPr="009A0374">
        <w:rPr>
          <w:sz w:val="20"/>
          <w:szCs w:val="22"/>
        </w:rPr>
        <w:t>Antall virksomheter i Norge, 2015-2020. Inndelt etter størrelsesgrupper.</w:t>
      </w:r>
    </w:p>
    <w:tbl>
      <w:tblPr>
        <w:tblStyle w:val="Rutenettabell5mrkuthevingsfarge1"/>
        <w:tblW w:w="5030" w:type="pct"/>
        <w:tblLook w:val="04A0" w:firstRow="1" w:lastRow="0" w:firstColumn="1" w:lastColumn="0" w:noHBand="0" w:noVBand="1"/>
      </w:tblPr>
      <w:tblGrid>
        <w:gridCol w:w="2108"/>
        <w:gridCol w:w="1169"/>
        <w:gridCol w:w="1169"/>
        <w:gridCol w:w="1169"/>
        <w:gridCol w:w="1169"/>
        <w:gridCol w:w="1169"/>
        <w:gridCol w:w="1163"/>
      </w:tblGrid>
      <w:tr w:rsidR="00AA61FD" w:rsidRPr="006710E9" w14:paraId="7DB13428" w14:textId="77777777" w:rsidTr="00945B0D">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57" w:type="pct"/>
            <w:noWrap/>
            <w:hideMark/>
          </w:tcPr>
          <w:p w14:paraId="750DDDD9" w14:textId="77777777" w:rsidR="00AA61FD" w:rsidRPr="00F13C11" w:rsidRDefault="00AA61FD" w:rsidP="00945B0D">
            <w:pPr>
              <w:spacing w:line="240" w:lineRule="auto"/>
              <w:jc w:val="center"/>
              <w:rPr>
                <w:rFonts w:eastAsia="Times New Roman" w:cs="Calibri"/>
                <w:sz w:val="18"/>
                <w:szCs w:val="18"/>
                <w:lang w:eastAsia="nb-NO"/>
              </w:rPr>
            </w:pPr>
          </w:p>
        </w:tc>
        <w:tc>
          <w:tcPr>
            <w:tcW w:w="641" w:type="pct"/>
            <w:noWrap/>
            <w:hideMark/>
          </w:tcPr>
          <w:p w14:paraId="3004CB30" w14:textId="77777777" w:rsidR="00AA61FD" w:rsidRPr="00F13C11" w:rsidRDefault="00AA61FD" w:rsidP="00945B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nb-NO"/>
              </w:rPr>
            </w:pPr>
            <w:r w:rsidRPr="00F13C11">
              <w:rPr>
                <w:rFonts w:eastAsia="Times New Roman" w:cs="Calibri"/>
                <w:sz w:val="18"/>
                <w:szCs w:val="18"/>
                <w:lang w:eastAsia="nb-NO"/>
              </w:rPr>
              <w:t>2015</w:t>
            </w:r>
          </w:p>
        </w:tc>
        <w:tc>
          <w:tcPr>
            <w:tcW w:w="641" w:type="pct"/>
            <w:noWrap/>
            <w:hideMark/>
          </w:tcPr>
          <w:p w14:paraId="42F3C5EE" w14:textId="77777777" w:rsidR="00AA61FD" w:rsidRPr="00F13C11" w:rsidRDefault="00AA61FD" w:rsidP="00945B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nb-NO"/>
              </w:rPr>
            </w:pPr>
            <w:r w:rsidRPr="00F13C11">
              <w:rPr>
                <w:rFonts w:eastAsia="Times New Roman" w:cs="Calibri"/>
                <w:sz w:val="18"/>
                <w:szCs w:val="18"/>
                <w:lang w:eastAsia="nb-NO"/>
              </w:rPr>
              <w:t>2016</w:t>
            </w:r>
          </w:p>
        </w:tc>
        <w:tc>
          <w:tcPr>
            <w:tcW w:w="641" w:type="pct"/>
            <w:noWrap/>
            <w:hideMark/>
          </w:tcPr>
          <w:p w14:paraId="1CFD1EF8" w14:textId="77777777" w:rsidR="00AA61FD" w:rsidRPr="00F13C11" w:rsidRDefault="00AA61FD" w:rsidP="00945B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nb-NO"/>
              </w:rPr>
            </w:pPr>
            <w:r w:rsidRPr="00F13C11">
              <w:rPr>
                <w:rFonts w:eastAsia="Times New Roman" w:cs="Calibri"/>
                <w:sz w:val="18"/>
                <w:szCs w:val="18"/>
                <w:lang w:eastAsia="nb-NO"/>
              </w:rPr>
              <w:t>2017</w:t>
            </w:r>
          </w:p>
        </w:tc>
        <w:tc>
          <w:tcPr>
            <w:tcW w:w="641" w:type="pct"/>
            <w:noWrap/>
            <w:hideMark/>
          </w:tcPr>
          <w:p w14:paraId="3599CBF6" w14:textId="77777777" w:rsidR="00AA61FD" w:rsidRPr="00F13C11" w:rsidRDefault="00AA61FD" w:rsidP="00945B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nb-NO"/>
              </w:rPr>
            </w:pPr>
            <w:r w:rsidRPr="00F13C11">
              <w:rPr>
                <w:rFonts w:eastAsia="Times New Roman" w:cs="Calibri"/>
                <w:sz w:val="18"/>
                <w:szCs w:val="18"/>
                <w:lang w:eastAsia="nb-NO"/>
              </w:rPr>
              <w:t>2018</w:t>
            </w:r>
          </w:p>
        </w:tc>
        <w:tc>
          <w:tcPr>
            <w:tcW w:w="641" w:type="pct"/>
            <w:noWrap/>
            <w:hideMark/>
          </w:tcPr>
          <w:p w14:paraId="68327B39" w14:textId="77777777" w:rsidR="00AA61FD" w:rsidRPr="00F13C11" w:rsidRDefault="00AA61FD" w:rsidP="00945B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nb-NO"/>
              </w:rPr>
            </w:pPr>
            <w:r w:rsidRPr="00F13C11">
              <w:rPr>
                <w:rFonts w:eastAsia="Times New Roman" w:cs="Calibri"/>
                <w:sz w:val="18"/>
                <w:szCs w:val="18"/>
                <w:lang w:eastAsia="nb-NO"/>
              </w:rPr>
              <w:t>2019</w:t>
            </w:r>
          </w:p>
        </w:tc>
        <w:tc>
          <w:tcPr>
            <w:tcW w:w="639" w:type="pct"/>
            <w:noWrap/>
            <w:hideMark/>
          </w:tcPr>
          <w:p w14:paraId="73AE3842" w14:textId="77777777" w:rsidR="00AA61FD" w:rsidRPr="00F13C11" w:rsidRDefault="00AA61FD" w:rsidP="00945B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nb-NO"/>
              </w:rPr>
            </w:pPr>
            <w:r w:rsidRPr="00F13C11">
              <w:rPr>
                <w:rFonts w:eastAsia="Times New Roman" w:cs="Calibri"/>
                <w:sz w:val="18"/>
                <w:szCs w:val="18"/>
                <w:lang w:eastAsia="nb-NO"/>
              </w:rPr>
              <w:t>2020</w:t>
            </w:r>
          </w:p>
        </w:tc>
      </w:tr>
      <w:tr w:rsidR="00AA61FD" w:rsidRPr="006710E9" w14:paraId="4F87214A" w14:textId="77777777" w:rsidTr="00945B0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57" w:type="pct"/>
            <w:noWrap/>
            <w:hideMark/>
          </w:tcPr>
          <w:p w14:paraId="122AF039" w14:textId="77777777" w:rsidR="00AA61FD" w:rsidRPr="00F13C11" w:rsidRDefault="00AA61FD" w:rsidP="00945B0D">
            <w:pPr>
              <w:spacing w:line="240" w:lineRule="auto"/>
              <w:jc w:val="center"/>
              <w:rPr>
                <w:rFonts w:eastAsia="Times New Roman" w:cs="Calibri"/>
                <w:sz w:val="18"/>
                <w:szCs w:val="18"/>
                <w:lang w:eastAsia="nb-NO"/>
              </w:rPr>
            </w:pPr>
            <w:r w:rsidRPr="00F13C11">
              <w:rPr>
                <w:rFonts w:eastAsia="Times New Roman" w:cs="Calibri"/>
                <w:sz w:val="18"/>
                <w:szCs w:val="18"/>
                <w:lang w:eastAsia="nb-NO"/>
              </w:rPr>
              <w:t>Ingen ansatte</w:t>
            </w:r>
          </w:p>
        </w:tc>
        <w:tc>
          <w:tcPr>
            <w:tcW w:w="641" w:type="pct"/>
            <w:noWrap/>
            <w:hideMark/>
          </w:tcPr>
          <w:p w14:paraId="144E80C5"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337 342</w:t>
            </w:r>
          </w:p>
        </w:tc>
        <w:tc>
          <w:tcPr>
            <w:tcW w:w="641" w:type="pct"/>
            <w:noWrap/>
            <w:hideMark/>
          </w:tcPr>
          <w:p w14:paraId="22AEB2AD"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366 444</w:t>
            </w:r>
          </w:p>
        </w:tc>
        <w:tc>
          <w:tcPr>
            <w:tcW w:w="641" w:type="pct"/>
            <w:noWrap/>
            <w:hideMark/>
          </w:tcPr>
          <w:p w14:paraId="230957AA"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369 630</w:t>
            </w:r>
          </w:p>
        </w:tc>
        <w:tc>
          <w:tcPr>
            <w:tcW w:w="641" w:type="pct"/>
            <w:noWrap/>
            <w:hideMark/>
          </w:tcPr>
          <w:p w14:paraId="3874CCCE"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377 051</w:t>
            </w:r>
          </w:p>
        </w:tc>
        <w:tc>
          <w:tcPr>
            <w:tcW w:w="641" w:type="pct"/>
            <w:noWrap/>
            <w:hideMark/>
          </w:tcPr>
          <w:p w14:paraId="73E1CF94"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379 855</w:t>
            </w:r>
          </w:p>
        </w:tc>
        <w:tc>
          <w:tcPr>
            <w:tcW w:w="639" w:type="pct"/>
            <w:noWrap/>
            <w:hideMark/>
          </w:tcPr>
          <w:p w14:paraId="38E54B50"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387 923</w:t>
            </w:r>
          </w:p>
        </w:tc>
      </w:tr>
      <w:tr w:rsidR="00AA61FD" w:rsidRPr="006710E9" w14:paraId="79F1E3F8" w14:textId="77777777" w:rsidTr="00945B0D">
        <w:trPr>
          <w:trHeight w:val="412"/>
        </w:trPr>
        <w:tc>
          <w:tcPr>
            <w:cnfStyle w:val="001000000000" w:firstRow="0" w:lastRow="0" w:firstColumn="1" w:lastColumn="0" w:oddVBand="0" w:evenVBand="0" w:oddHBand="0" w:evenHBand="0" w:firstRowFirstColumn="0" w:firstRowLastColumn="0" w:lastRowFirstColumn="0" w:lastRowLastColumn="0"/>
            <w:tcW w:w="1157" w:type="pct"/>
            <w:noWrap/>
            <w:hideMark/>
          </w:tcPr>
          <w:p w14:paraId="0E14FCF0" w14:textId="77777777" w:rsidR="00AA61FD" w:rsidRPr="00F13C11" w:rsidRDefault="00AA61FD" w:rsidP="00945B0D">
            <w:pPr>
              <w:spacing w:line="240" w:lineRule="auto"/>
              <w:jc w:val="center"/>
              <w:rPr>
                <w:rFonts w:eastAsia="Times New Roman" w:cs="Calibri"/>
                <w:sz w:val="18"/>
                <w:szCs w:val="18"/>
                <w:lang w:eastAsia="nb-NO"/>
              </w:rPr>
            </w:pPr>
            <w:r w:rsidRPr="00F13C11">
              <w:rPr>
                <w:rFonts w:eastAsia="Times New Roman" w:cs="Calibri"/>
                <w:sz w:val="18"/>
                <w:szCs w:val="18"/>
                <w:lang w:eastAsia="nb-NO"/>
              </w:rPr>
              <w:t>1-4 ansatte</w:t>
            </w:r>
          </w:p>
        </w:tc>
        <w:tc>
          <w:tcPr>
            <w:tcW w:w="641" w:type="pct"/>
            <w:noWrap/>
            <w:hideMark/>
          </w:tcPr>
          <w:p w14:paraId="563829A0"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114 556</w:t>
            </w:r>
          </w:p>
        </w:tc>
        <w:tc>
          <w:tcPr>
            <w:tcW w:w="641" w:type="pct"/>
            <w:noWrap/>
            <w:hideMark/>
          </w:tcPr>
          <w:p w14:paraId="43A1BFEF"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91 273</w:t>
            </w:r>
          </w:p>
        </w:tc>
        <w:tc>
          <w:tcPr>
            <w:tcW w:w="641" w:type="pct"/>
            <w:noWrap/>
            <w:hideMark/>
          </w:tcPr>
          <w:p w14:paraId="2F4D0160"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95 307</w:t>
            </w:r>
          </w:p>
        </w:tc>
        <w:tc>
          <w:tcPr>
            <w:tcW w:w="641" w:type="pct"/>
            <w:noWrap/>
            <w:hideMark/>
          </w:tcPr>
          <w:p w14:paraId="383A99A4"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98 331</w:t>
            </w:r>
          </w:p>
        </w:tc>
        <w:tc>
          <w:tcPr>
            <w:tcW w:w="641" w:type="pct"/>
            <w:noWrap/>
            <w:hideMark/>
          </w:tcPr>
          <w:p w14:paraId="3B24F348"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99 658</w:t>
            </w:r>
          </w:p>
        </w:tc>
        <w:tc>
          <w:tcPr>
            <w:tcW w:w="639" w:type="pct"/>
            <w:noWrap/>
            <w:hideMark/>
          </w:tcPr>
          <w:p w14:paraId="1395EEAB"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100 326</w:t>
            </w:r>
          </w:p>
        </w:tc>
      </w:tr>
      <w:tr w:rsidR="00AA61FD" w:rsidRPr="006710E9" w14:paraId="37966F12" w14:textId="77777777" w:rsidTr="00945B0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57" w:type="pct"/>
            <w:noWrap/>
            <w:hideMark/>
          </w:tcPr>
          <w:p w14:paraId="4FC396BB" w14:textId="77777777" w:rsidR="00AA61FD" w:rsidRPr="00F13C11" w:rsidRDefault="00AA61FD" w:rsidP="00945B0D">
            <w:pPr>
              <w:spacing w:line="240" w:lineRule="auto"/>
              <w:jc w:val="center"/>
              <w:rPr>
                <w:rFonts w:eastAsia="Times New Roman" w:cs="Calibri"/>
                <w:sz w:val="18"/>
                <w:szCs w:val="18"/>
                <w:lang w:eastAsia="nb-NO"/>
              </w:rPr>
            </w:pPr>
            <w:r w:rsidRPr="00F13C11">
              <w:rPr>
                <w:rFonts w:eastAsia="Times New Roman" w:cs="Calibri"/>
                <w:sz w:val="18"/>
                <w:szCs w:val="18"/>
                <w:lang w:eastAsia="nb-NO"/>
              </w:rPr>
              <w:t>5-9 ansatte</w:t>
            </w:r>
          </w:p>
        </w:tc>
        <w:tc>
          <w:tcPr>
            <w:tcW w:w="641" w:type="pct"/>
            <w:noWrap/>
            <w:hideMark/>
          </w:tcPr>
          <w:p w14:paraId="1D7A64AB"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40 645</w:t>
            </w:r>
          </w:p>
        </w:tc>
        <w:tc>
          <w:tcPr>
            <w:tcW w:w="641" w:type="pct"/>
            <w:noWrap/>
            <w:hideMark/>
          </w:tcPr>
          <w:p w14:paraId="7B74BAB3"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41 159</w:t>
            </w:r>
          </w:p>
        </w:tc>
        <w:tc>
          <w:tcPr>
            <w:tcW w:w="641" w:type="pct"/>
            <w:noWrap/>
            <w:hideMark/>
          </w:tcPr>
          <w:p w14:paraId="482B6947"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41 085</w:t>
            </w:r>
          </w:p>
        </w:tc>
        <w:tc>
          <w:tcPr>
            <w:tcW w:w="641" w:type="pct"/>
            <w:noWrap/>
            <w:hideMark/>
          </w:tcPr>
          <w:p w14:paraId="44729332"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41 757</w:t>
            </w:r>
          </w:p>
        </w:tc>
        <w:tc>
          <w:tcPr>
            <w:tcW w:w="641" w:type="pct"/>
            <w:noWrap/>
            <w:hideMark/>
          </w:tcPr>
          <w:p w14:paraId="7A85CD29"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41 732</w:t>
            </w:r>
          </w:p>
        </w:tc>
        <w:tc>
          <w:tcPr>
            <w:tcW w:w="639" w:type="pct"/>
            <w:noWrap/>
            <w:hideMark/>
          </w:tcPr>
          <w:p w14:paraId="7A1CA297"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41 438</w:t>
            </w:r>
          </w:p>
        </w:tc>
      </w:tr>
      <w:tr w:rsidR="00AA61FD" w:rsidRPr="006710E9" w14:paraId="05B9DE22" w14:textId="77777777" w:rsidTr="00945B0D">
        <w:trPr>
          <w:trHeight w:val="412"/>
        </w:trPr>
        <w:tc>
          <w:tcPr>
            <w:cnfStyle w:val="001000000000" w:firstRow="0" w:lastRow="0" w:firstColumn="1" w:lastColumn="0" w:oddVBand="0" w:evenVBand="0" w:oddHBand="0" w:evenHBand="0" w:firstRowFirstColumn="0" w:firstRowLastColumn="0" w:lastRowFirstColumn="0" w:lastRowLastColumn="0"/>
            <w:tcW w:w="1157" w:type="pct"/>
            <w:noWrap/>
            <w:hideMark/>
          </w:tcPr>
          <w:p w14:paraId="212FD4E4" w14:textId="77777777" w:rsidR="00AA61FD" w:rsidRPr="00F13C11" w:rsidRDefault="00AA61FD" w:rsidP="00945B0D">
            <w:pPr>
              <w:spacing w:line="240" w:lineRule="auto"/>
              <w:jc w:val="center"/>
              <w:rPr>
                <w:rFonts w:eastAsia="Times New Roman" w:cs="Calibri"/>
                <w:sz w:val="18"/>
                <w:szCs w:val="18"/>
                <w:lang w:eastAsia="nb-NO"/>
              </w:rPr>
            </w:pPr>
            <w:r w:rsidRPr="00F13C11">
              <w:rPr>
                <w:rFonts w:eastAsia="Times New Roman" w:cs="Calibri"/>
                <w:sz w:val="18"/>
                <w:szCs w:val="18"/>
                <w:lang w:eastAsia="nb-NO"/>
              </w:rPr>
              <w:t>10-19 ansatte</w:t>
            </w:r>
          </w:p>
        </w:tc>
        <w:tc>
          <w:tcPr>
            <w:tcW w:w="641" w:type="pct"/>
            <w:noWrap/>
            <w:hideMark/>
          </w:tcPr>
          <w:p w14:paraId="4306F004"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28 087</w:t>
            </w:r>
          </w:p>
        </w:tc>
        <w:tc>
          <w:tcPr>
            <w:tcW w:w="641" w:type="pct"/>
            <w:noWrap/>
            <w:hideMark/>
          </w:tcPr>
          <w:p w14:paraId="7C32A456"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29 614</w:t>
            </w:r>
          </w:p>
        </w:tc>
        <w:tc>
          <w:tcPr>
            <w:tcW w:w="641" w:type="pct"/>
            <w:noWrap/>
            <w:hideMark/>
          </w:tcPr>
          <w:p w14:paraId="3DD7841C"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29 324</w:t>
            </w:r>
          </w:p>
        </w:tc>
        <w:tc>
          <w:tcPr>
            <w:tcW w:w="641" w:type="pct"/>
            <w:noWrap/>
            <w:hideMark/>
          </w:tcPr>
          <w:p w14:paraId="0FF3EC3C"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29 662</w:t>
            </w:r>
          </w:p>
        </w:tc>
        <w:tc>
          <w:tcPr>
            <w:tcW w:w="641" w:type="pct"/>
            <w:noWrap/>
            <w:hideMark/>
          </w:tcPr>
          <w:p w14:paraId="1BBA66E8"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30 026</w:t>
            </w:r>
          </w:p>
        </w:tc>
        <w:tc>
          <w:tcPr>
            <w:tcW w:w="639" w:type="pct"/>
            <w:noWrap/>
            <w:hideMark/>
          </w:tcPr>
          <w:p w14:paraId="590A9318"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30 051</w:t>
            </w:r>
          </w:p>
        </w:tc>
      </w:tr>
      <w:tr w:rsidR="00AA61FD" w:rsidRPr="006710E9" w14:paraId="234428AD" w14:textId="77777777" w:rsidTr="00945B0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57" w:type="pct"/>
            <w:noWrap/>
            <w:hideMark/>
          </w:tcPr>
          <w:p w14:paraId="468B6CBB" w14:textId="77777777" w:rsidR="00AA61FD" w:rsidRPr="00F13C11" w:rsidRDefault="00AA61FD" w:rsidP="00945B0D">
            <w:pPr>
              <w:spacing w:line="240" w:lineRule="auto"/>
              <w:jc w:val="center"/>
              <w:rPr>
                <w:rFonts w:eastAsia="Times New Roman" w:cs="Calibri"/>
                <w:sz w:val="18"/>
                <w:szCs w:val="18"/>
                <w:lang w:eastAsia="nb-NO"/>
              </w:rPr>
            </w:pPr>
            <w:r w:rsidRPr="00F13C11">
              <w:rPr>
                <w:rFonts w:eastAsia="Times New Roman" w:cs="Calibri"/>
                <w:sz w:val="18"/>
                <w:szCs w:val="18"/>
                <w:lang w:eastAsia="nb-NO"/>
              </w:rPr>
              <w:t>20-49 ansatte</w:t>
            </w:r>
          </w:p>
        </w:tc>
        <w:tc>
          <w:tcPr>
            <w:tcW w:w="641" w:type="pct"/>
            <w:noWrap/>
            <w:hideMark/>
          </w:tcPr>
          <w:p w14:paraId="6DD72C7B"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18 146</w:t>
            </w:r>
          </w:p>
        </w:tc>
        <w:tc>
          <w:tcPr>
            <w:tcW w:w="641" w:type="pct"/>
            <w:noWrap/>
            <w:hideMark/>
          </w:tcPr>
          <w:p w14:paraId="72D24FC2"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20 712</w:t>
            </w:r>
          </w:p>
        </w:tc>
        <w:tc>
          <w:tcPr>
            <w:tcW w:w="641" w:type="pct"/>
            <w:noWrap/>
            <w:hideMark/>
          </w:tcPr>
          <w:p w14:paraId="094AC708"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20 359</w:t>
            </w:r>
          </w:p>
        </w:tc>
        <w:tc>
          <w:tcPr>
            <w:tcW w:w="641" w:type="pct"/>
            <w:noWrap/>
            <w:hideMark/>
          </w:tcPr>
          <w:p w14:paraId="14C233A2"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20 654</w:t>
            </w:r>
          </w:p>
        </w:tc>
        <w:tc>
          <w:tcPr>
            <w:tcW w:w="641" w:type="pct"/>
            <w:noWrap/>
            <w:hideMark/>
          </w:tcPr>
          <w:p w14:paraId="79438A64"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20 774</w:t>
            </w:r>
          </w:p>
        </w:tc>
        <w:tc>
          <w:tcPr>
            <w:tcW w:w="639" w:type="pct"/>
            <w:noWrap/>
            <w:hideMark/>
          </w:tcPr>
          <w:p w14:paraId="2F21158A"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21 062</w:t>
            </w:r>
          </w:p>
        </w:tc>
      </w:tr>
      <w:tr w:rsidR="00AA61FD" w:rsidRPr="006710E9" w14:paraId="229820D6" w14:textId="77777777" w:rsidTr="00945B0D">
        <w:trPr>
          <w:trHeight w:val="412"/>
        </w:trPr>
        <w:tc>
          <w:tcPr>
            <w:cnfStyle w:val="001000000000" w:firstRow="0" w:lastRow="0" w:firstColumn="1" w:lastColumn="0" w:oddVBand="0" w:evenVBand="0" w:oddHBand="0" w:evenHBand="0" w:firstRowFirstColumn="0" w:firstRowLastColumn="0" w:lastRowFirstColumn="0" w:lastRowLastColumn="0"/>
            <w:tcW w:w="1157" w:type="pct"/>
            <w:noWrap/>
            <w:hideMark/>
          </w:tcPr>
          <w:p w14:paraId="08D92AA6" w14:textId="77777777" w:rsidR="00AA61FD" w:rsidRPr="00F13C11" w:rsidRDefault="00AA61FD" w:rsidP="00945B0D">
            <w:pPr>
              <w:spacing w:line="240" w:lineRule="auto"/>
              <w:jc w:val="center"/>
              <w:rPr>
                <w:rFonts w:eastAsia="Times New Roman" w:cs="Calibri"/>
                <w:sz w:val="18"/>
                <w:szCs w:val="18"/>
                <w:lang w:eastAsia="nb-NO"/>
              </w:rPr>
            </w:pPr>
            <w:r w:rsidRPr="00F13C11">
              <w:rPr>
                <w:rFonts w:eastAsia="Times New Roman" w:cs="Calibri"/>
                <w:sz w:val="18"/>
                <w:szCs w:val="18"/>
                <w:lang w:eastAsia="nb-NO"/>
              </w:rPr>
              <w:t>50-99 ansatte</w:t>
            </w:r>
          </w:p>
        </w:tc>
        <w:tc>
          <w:tcPr>
            <w:tcW w:w="641" w:type="pct"/>
            <w:noWrap/>
            <w:hideMark/>
          </w:tcPr>
          <w:p w14:paraId="0E45E5D2"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5 372</w:t>
            </w:r>
          </w:p>
        </w:tc>
        <w:tc>
          <w:tcPr>
            <w:tcW w:w="641" w:type="pct"/>
            <w:noWrap/>
            <w:hideMark/>
          </w:tcPr>
          <w:p w14:paraId="2A8E4FA7"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6 181</w:t>
            </w:r>
          </w:p>
        </w:tc>
        <w:tc>
          <w:tcPr>
            <w:tcW w:w="641" w:type="pct"/>
            <w:noWrap/>
            <w:hideMark/>
          </w:tcPr>
          <w:p w14:paraId="30929382"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5 916</w:t>
            </w:r>
          </w:p>
        </w:tc>
        <w:tc>
          <w:tcPr>
            <w:tcW w:w="641" w:type="pct"/>
            <w:noWrap/>
            <w:hideMark/>
          </w:tcPr>
          <w:p w14:paraId="0231B3E7"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6 133</w:t>
            </w:r>
          </w:p>
        </w:tc>
        <w:tc>
          <w:tcPr>
            <w:tcW w:w="641" w:type="pct"/>
            <w:noWrap/>
            <w:hideMark/>
          </w:tcPr>
          <w:p w14:paraId="47CF57F2"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6 329</w:t>
            </w:r>
          </w:p>
        </w:tc>
        <w:tc>
          <w:tcPr>
            <w:tcW w:w="639" w:type="pct"/>
            <w:noWrap/>
            <w:hideMark/>
          </w:tcPr>
          <w:p w14:paraId="786DAD23"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6 334</w:t>
            </w:r>
          </w:p>
        </w:tc>
      </w:tr>
      <w:tr w:rsidR="00AA61FD" w:rsidRPr="006710E9" w14:paraId="3CCE6A94" w14:textId="77777777" w:rsidTr="00945B0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57" w:type="pct"/>
            <w:noWrap/>
            <w:hideMark/>
          </w:tcPr>
          <w:p w14:paraId="413074CE" w14:textId="77777777" w:rsidR="00AA61FD" w:rsidRPr="00F13C11" w:rsidRDefault="00AA61FD" w:rsidP="00945B0D">
            <w:pPr>
              <w:spacing w:line="240" w:lineRule="auto"/>
              <w:jc w:val="center"/>
              <w:rPr>
                <w:rFonts w:eastAsia="Times New Roman" w:cs="Calibri"/>
                <w:sz w:val="18"/>
                <w:szCs w:val="18"/>
                <w:lang w:eastAsia="nb-NO"/>
              </w:rPr>
            </w:pPr>
            <w:r w:rsidRPr="00F13C11">
              <w:rPr>
                <w:rFonts w:eastAsia="Times New Roman" w:cs="Calibri"/>
                <w:sz w:val="18"/>
                <w:szCs w:val="18"/>
                <w:lang w:eastAsia="nb-NO"/>
              </w:rPr>
              <w:t>100 - 249 ansatte</w:t>
            </w:r>
          </w:p>
        </w:tc>
        <w:tc>
          <w:tcPr>
            <w:tcW w:w="641" w:type="pct"/>
            <w:noWrap/>
            <w:hideMark/>
          </w:tcPr>
          <w:p w14:paraId="7AFDCC1D"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2 400</w:t>
            </w:r>
          </w:p>
        </w:tc>
        <w:tc>
          <w:tcPr>
            <w:tcW w:w="641" w:type="pct"/>
            <w:noWrap/>
            <w:hideMark/>
          </w:tcPr>
          <w:p w14:paraId="758C6719"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2 790</w:t>
            </w:r>
          </w:p>
        </w:tc>
        <w:tc>
          <w:tcPr>
            <w:tcW w:w="641" w:type="pct"/>
            <w:noWrap/>
            <w:hideMark/>
          </w:tcPr>
          <w:p w14:paraId="265C1FF2"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2 689</w:t>
            </w:r>
          </w:p>
        </w:tc>
        <w:tc>
          <w:tcPr>
            <w:tcW w:w="641" w:type="pct"/>
            <w:noWrap/>
            <w:hideMark/>
          </w:tcPr>
          <w:p w14:paraId="3742561D"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2 715</w:t>
            </w:r>
          </w:p>
        </w:tc>
        <w:tc>
          <w:tcPr>
            <w:tcW w:w="641" w:type="pct"/>
            <w:noWrap/>
            <w:hideMark/>
          </w:tcPr>
          <w:p w14:paraId="06EE7027"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2 768</w:t>
            </w:r>
          </w:p>
        </w:tc>
        <w:tc>
          <w:tcPr>
            <w:tcW w:w="639" w:type="pct"/>
            <w:noWrap/>
            <w:hideMark/>
          </w:tcPr>
          <w:p w14:paraId="045144F0"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2 831</w:t>
            </w:r>
          </w:p>
        </w:tc>
      </w:tr>
      <w:tr w:rsidR="00AA61FD" w:rsidRPr="006710E9" w14:paraId="6C807731" w14:textId="77777777" w:rsidTr="00945B0D">
        <w:trPr>
          <w:trHeight w:val="412"/>
        </w:trPr>
        <w:tc>
          <w:tcPr>
            <w:cnfStyle w:val="001000000000" w:firstRow="0" w:lastRow="0" w:firstColumn="1" w:lastColumn="0" w:oddVBand="0" w:evenVBand="0" w:oddHBand="0" w:evenHBand="0" w:firstRowFirstColumn="0" w:firstRowLastColumn="0" w:lastRowFirstColumn="0" w:lastRowLastColumn="0"/>
            <w:tcW w:w="1157" w:type="pct"/>
            <w:noWrap/>
            <w:hideMark/>
          </w:tcPr>
          <w:p w14:paraId="55DB7CDE" w14:textId="77777777" w:rsidR="00AA61FD" w:rsidRPr="00F13C11" w:rsidRDefault="00AA61FD" w:rsidP="00945B0D">
            <w:pPr>
              <w:spacing w:line="240" w:lineRule="auto"/>
              <w:jc w:val="center"/>
              <w:rPr>
                <w:rFonts w:eastAsia="Times New Roman" w:cs="Calibri"/>
                <w:sz w:val="18"/>
                <w:szCs w:val="18"/>
                <w:lang w:eastAsia="nb-NO"/>
              </w:rPr>
            </w:pPr>
            <w:r w:rsidRPr="00F13C11">
              <w:rPr>
                <w:rFonts w:eastAsia="Times New Roman" w:cs="Calibri"/>
                <w:sz w:val="18"/>
                <w:szCs w:val="18"/>
                <w:lang w:eastAsia="nb-NO"/>
              </w:rPr>
              <w:t>250 ansatte og over</w:t>
            </w:r>
          </w:p>
        </w:tc>
        <w:tc>
          <w:tcPr>
            <w:tcW w:w="641" w:type="pct"/>
            <w:noWrap/>
            <w:hideMark/>
          </w:tcPr>
          <w:p w14:paraId="605226F7"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684</w:t>
            </w:r>
          </w:p>
        </w:tc>
        <w:tc>
          <w:tcPr>
            <w:tcW w:w="641" w:type="pct"/>
            <w:noWrap/>
            <w:hideMark/>
          </w:tcPr>
          <w:p w14:paraId="4AADB529"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786</w:t>
            </w:r>
          </w:p>
        </w:tc>
        <w:tc>
          <w:tcPr>
            <w:tcW w:w="641" w:type="pct"/>
            <w:noWrap/>
            <w:hideMark/>
          </w:tcPr>
          <w:p w14:paraId="050BC129"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744</w:t>
            </w:r>
          </w:p>
        </w:tc>
        <w:tc>
          <w:tcPr>
            <w:tcW w:w="641" w:type="pct"/>
            <w:noWrap/>
            <w:hideMark/>
          </w:tcPr>
          <w:p w14:paraId="2EFDFE83"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764</w:t>
            </w:r>
          </w:p>
        </w:tc>
        <w:tc>
          <w:tcPr>
            <w:tcW w:w="641" w:type="pct"/>
            <w:noWrap/>
            <w:hideMark/>
          </w:tcPr>
          <w:p w14:paraId="6119BF67"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814</w:t>
            </w:r>
          </w:p>
        </w:tc>
        <w:tc>
          <w:tcPr>
            <w:tcW w:w="639" w:type="pct"/>
            <w:noWrap/>
            <w:hideMark/>
          </w:tcPr>
          <w:p w14:paraId="33D0CE20" w14:textId="77777777" w:rsidR="00AA61FD" w:rsidRPr="00F13C11"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F13C11">
              <w:rPr>
                <w:rFonts w:eastAsia="Times New Roman" w:cs="Calibri"/>
                <w:color w:val="000000"/>
                <w:sz w:val="18"/>
                <w:szCs w:val="18"/>
                <w:lang w:eastAsia="nb-NO"/>
              </w:rPr>
              <w:t>845</w:t>
            </w:r>
          </w:p>
        </w:tc>
      </w:tr>
      <w:tr w:rsidR="00AA61FD" w:rsidRPr="006710E9" w14:paraId="7A15B824" w14:textId="77777777" w:rsidTr="00945B0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157" w:type="pct"/>
            <w:noWrap/>
            <w:hideMark/>
          </w:tcPr>
          <w:p w14:paraId="17697D47" w14:textId="77777777" w:rsidR="00AA61FD" w:rsidRPr="00F13C11" w:rsidRDefault="00AA61FD" w:rsidP="00945B0D">
            <w:pPr>
              <w:spacing w:line="240" w:lineRule="auto"/>
              <w:jc w:val="center"/>
              <w:rPr>
                <w:rFonts w:eastAsia="Times New Roman" w:cs="Calibri"/>
                <w:sz w:val="18"/>
                <w:szCs w:val="18"/>
                <w:lang w:eastAsia="nb-NO"/>
              </w:rPr>
            </w:pPr>
            <w:r w:rsidRPr="00F13C11">
              <w:rPr>
                <w:rFonts w:eastAsia="Times New Roman" w:cs="Calibri"/>
                <w:sz w:val="18"/>
                <w:szCs w:val="18"/>
                <w:lang w:eastAsia="nb-NO"/>
              </w:rPr>
              <w:t>Alle størrelsesgrupper</w:t>
            </w:r>
          </w:p>
        </w:tc>
        <w:tc>
          <w:tcPr>
            <w:tcW w:w="641" w:type="pct"/>
            <w:noWrap/>
            <w:hideMark/>
          </w:tcPr>
          <w:p w14:paraId="44F7C49D"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nb-NO"/>
              </w:rPr>
            </w:pPr>
            <w:r w:rsidRPr="00F13C11">
              <w:rPr>
                <w:rFonts w:eastAsia="Times New Roman" w:cs="Calibri"/>
                <w:b/>
                <w:bCs/>
                <w:color w:val="000000"/>
                <w:sz w:val="18"/>
                <w:szCs w:val="18"/>
                <w:lang w:eastAsia="nb-NO"/>
              </w:rPr>
              <w:t>547 232</w:t>
            </w:r>
          </w:p>
        </w:tc>
        <w:tc>
          <w:tcPr>
            <w:tcW w:w="641" w:type="pct"/>
            <w:noWrap/>
            <w:hideMark/>
          </w:tcPr>
          <w:p w14:paraId="703EA13C"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nb-NO"/>
              </w:rPr>
            </w:pPr>
            <w:r w:rsidRPr="00F13C11">
              <w:rPr>
                <w:rFonts w:eastAsia="Times New Roman" w:cs="Calibri"/>
                <w:b/>
                <w:bCs/>
                <w:color w:val="000000"/>
                <w:sz w:val="18"/>
                <w:szCs w:val="18"/>
                <w:lang w:eastAsia="nb-NO"/>
              </w:rPr>
              <w:t>558 959</w:t>
            </w:r>
          </w:p>
        </w:tc>
        <w:tc>
          <w:tcPr>
            <w:tcW w:w="641" w:type="pct"/>
            <w:noWrap/>
            <w:hideMark/>
          </w:tcPr>
          <w:p w14:paraId="2DBC71B6"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nb-NO"/>
              </w:rPr>
            </w:pPr>
            <w:r w:rsidRPr="00F13C11">
              <w:rPr>
                <w:rFonts w:eastAsia="Times New Roman" w:cs="Calibri"/>
                <w:b/>
                <w:bCs/>
                <w:color w:val="000000"/>
                <w:sz w:val="18"/>
                <w:szCs w:val="18"/>
                <w:lang w:eastAsia="nb-NO"/>
              </w:rPr>
              <w:t>565 054</w:t>
            </w:r>
          </w:p>
        </w:tc>
        <w:tc>
          <w:tcPr>
            <w:tcW w:w="641" w:type="pct"/>
            <w:noWrap/>
            <w:hideMark/>
          </w:tcPr>
          <w:p w14:paraId="316310C9"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nb-NO"/>
              </w:rPr>
            </w:pPr>
            <w:r w:rsidRPr="00F13C11">
              <w:rPr>
                <w:rFonts w:eastAsia="Times New Roman" w:cs="Calibri"/>
                <w:b/>
                <w:bCs/>
                <w:color w:val="000000"/>
                <w:sz w:val="18"/>
                <w:szCs w:val="18"/>
                <w:lang w:eastAsia="nb-NO"/>
              </w:rPr>
              <w:t>577 067</w:t>
            </w:r>
          </w:p>
        </w:tc>
        <w:tc>
          <w:tcPr>
            <w:tcW w:w="641" w:type="pct"/>
            <w:noWrap/>
            <w:hideMark/>
          </w:tcPr>
          <w:p w14:paraId="4087B54D"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nb-NO"/>
              </w:rPr>
            </w:pPr>
            <w:r w:rsidRPr="00F13C11">
              <w:rPr>
                <w:rFonts w:eastAsia="Times New Roman" w:cs="Calibri"/>
                <w:b/>
                <w:bCs/>
                <w:color w:val="000000"/>
                <w:sz w:val="18"/>
                <w:szCs w:val="18"/>
                <w:lang w:eastAsia="nb-NO"/>
              </w:rPr>
              <w:t>581 956</w:t>
            </w:r>
          </w:p>
        </w:tc>
        <w:tc>
          <w:tcPr>
            <w:tcW w:w="639" w:type="pct"/>
            <w:noWrap/>
            <w:hideMark/>
          </w:tcPr>
          <w:p w14:paraId="31433359" w14:textId="77777777" w:rsidR="00AA61FD" w:rsidRPr="00F13C11"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nb-NO"/>
              </w:rPr>
            </w:pPr>
            <w:r w:rsidRPr="00F13C11">
              <w:rPr>
                <w:rFonts w:eastAsia="Times New Roman" w:cs="Calibri"/>
                <w:b/>
                <w:bCs/>
                <w:color w:val="000000"/>
                <w:sz w:val="18"/>
                <w:szCs w:val="18"/>
                <w:lang w:eastAsia="nb-NO"/>
              </w:rPr>
              <w:t>590 810</w:t>
            </w:r>
          </w:p>
        </w:tc>
      </w:tr>
    </w:tbl>
    <w:p w14:paraId="2E4642FA" w14:textId="77777777" w:rsidR="00AA61FD" w:rsidRDefault="00AA61FD" w:rsidP="00AA61FD">
      <w:r w:rsidRPr="00660761">
        <w:rPr>
          <w:sz w:val="16"/>
          <w:szCs w:val="16"/>
        </w:rPr>
        <w:t>Kilde: SSB</w:t>
      </w:r>
      <w:r>
        <w:rPr>
          <w:sz w:val="16"/>
          <w:szCs w:val="16"/>
        </w:rPr>
        <w:br/>
      </w:r>
      <w:r>
        <w:br/>
      </w:r>
    </w:p>
    <w:p w14:paraId="58843B13" w14:textId="77777777" w:rsidR="00AA61FD" w:rsidRPr="009A0374" w:rsidRDefault="00AA61FD" w:rsidP="00AA61FD">
      <w:pPr>
        <w:pStyle w:val="Bildetekst"/>
        <w:keepNext/>
        <w:rPr>
          <w:sz w:val="20"/>
          <w:szCs w:val="22"/>
        </w:rPr>
      </w:pPr>
      <w:r w:rsidRPr="009A0374">
        <w:rPr>
          <w:sz w:val="20"/>
          <w:szCs w:val="22"/>
        </w:rPr>
        <w:t xml:space="preserve">Fordeling av antall registrerte virksomheter med ansatte i Norge, 2015-2020. </w:t>
      </w:r>
      <w:r>
        <w:rPr>
          <w:sz w:val="20"/>
          <w:szCs w:val="22"/>
        </w:rPr>
        <w:br/>
      </w:r>
      <w:r w:rsidRPr="009A0374">
        <w:rPr>
          <w:sz w:val="20"/>
          <w:szCs w:val="22"/>
        </w:rPr>
        <w:t>Inndelt etter størrelsesgrupper.</w:t>
      </w:r>
    </w:p>
    <w:tbl>
      <w:tblPr>
        <w:tblStyle w:val="Rutenettabell5mrkuthevingsfarge1"/>
        <w:tblW w:w="9128" w:type="dxa"/>
        <w:tblLayout w:type="fixed"/>
        <w:tblLook w:val="04A0" w:firstRow="1" w:lastRow="0" w:firstColumn="1" w:lastColumn="0" w:noHBand="0" w:noVBand="1"/>
      </w:tblPr>
      <w:tblGrid>
        <w:gridCol w:w="1304"/>
        <w:gridCol w:w="1304"/>
        <w:gridCol w:w="1304"/>
        <w:gridCol w:w="1304"/>
        <w:gridCol w:w="1304"/>
        <w:gridCol w:w="1304"/>
        <w:gridCol w:w="1304"/>
      </w:tblGrid>
      <w:tr w:rsidR="00AA61FD" w:rsidRPr="002C4E07" w14:paraId="58829AC3" w14:textId="77777777" w:rsidTr="00945B0D">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304" w:type="dxa"/>
            <w:noWrap/>
            <w:hideMark/>
          </w:tcPr>
          <w:p w14:paraId="63DB21F7" w14:textId="77777777" w:rsidR="00AA61FD" w:rsidRPr="002C4E07" w:rsidRDefault="00AA61FD" w:rsidP="00945B0D">
            <w:pPr>
              <w:rPr>
                <w:sz w:val="18"/>
                <w:szCs w:val="18"/>
              </w:rPr>
            </w:pPr>
            <w:r w:rsidRPr="002C4E07">
              <w:rPr>
                <w:sz w:val="18"/>
                <w:szCs w:val="18"/>
              </w:rPr>
              <w:t> </w:t>
            </w:r>
          </w:p>
        </w:tc>
        <w:tc>
          <w:tcPr>
            <w:tcW w:w="1304" w:type="dxa"/>
            <w:noWrap/>
            <w:hideMark/>
          </w:tcPr>
          <w:p w14:paraId="68B2E74E" w14:textId="77777777" w:rsidR="00AA61FD" w:rsidRPr="002C4E07" w:rsidRDefault="00AA61FD" w:rsidP="00945B0D">
            <w:pPr>
              <w:cnfStyle w:val="100000000000" w:firstRow="1" w:lastRow="0" w:firstColumn="0" w:lastColumn="0" w:oddVBand="0" w:evenVBand="0" w:oddHBand="0" w:evenHBand="0" w:firstRowFirstColumn="0" w:firstRowLastColumn="0" w:lastRowFirstColumn="0" w:lastRowLastColumn="0"/>
              <w:rPr>
                <w:sz w:val="18"/>
                <w:szCs w:val="18"/>
              </w:rPr>
            </w:pPr>
            <w:r w:rsidRPr="002C4E07">
              <w:rPr>
                <w:sz w:val="18"/>
                <w:szCs w:val="18"/>
              </w:rPr>
              <w:t>2015</w:t>
            </w:r>
          </w:p>
        </w:tc>
        <w:tc>
          <w:tcPr>
            <w:tcW w:w="1304" w:type="dxa"/>
            <w:noWrap/>
            <w:hideMark/>
          </w:tcPr>
          <w:p w14:paraId="32608EBA" w14:textId="77777777" w:rsidR="00AA61FD" w:rsidRPr="002C4E07" w:rsidRDefault="00AA61FD" w:rsidP="00945B0D">
            <w:pPr>
              <w:cnfStyle w:val="100000000000" w:firstRow="1" w:lastRow="0" w:firstColumn="0" w:lastColumn="0" w:oddVBand="0" w:evenVBand="0" w:oddHBand="0" w:evenHBand="0" w:firstRowFirstColumn="0" w:firstRowLastColumn="0" w:lastRowFirstColumn="0" w:lastRowLastColumn="0"/>
              <w:rPr>
                <w:sz w:val="18"/>
                <w:szCs w:val="18"/>
              </w:rPr>
            </w:pPr>
            <w:r w:rsidRPr="002C4E07">
              <w:rPr>
                <w:sz w:val="18"/>
                <w:szCs w:val="18"/>
              </w:rPr>
              <w:t>2016</w:t>
            </w:r>
          </w:p>
        </w:tc>
        <w:tc>
          <w:tcPr>
            <w:tcW w:w="1304" w:type="dxa"/>
            <w:noWrap/>
            <w:hideMark/>
          </w:tcPr>
          <w:p w14:paraId="3D5044EB" w14:textId="77777777" w:rsidR="00AA61FD" w:rsidRPr="002C4E07" w:rsidRDefault="00AA61FD" w:rsidP="00945B0D">
            <w:pPr>
              <w:cnfStyle w:val="100000000000" w:firstRow="1" w:lastRow="0" w:firstColumn="0" w:lastColumn="0" w:oddVBand="0" w:evenVBand="0" w:oddHBand="0" w:evenHBand="0" w:firstRowFirstColumn="0" w:firstRowLastColumn="0" w:lastRowFirstColumn="0" w:lastRowLastColumn="0"/>
              <w:rPr>
                <w:sz w:val="18"/>
                <w:szCs w:val="18"/>
              </w:rPr>
            </w:pPr>
            <w:r w:rsidRPr="002C4E07">
              <w:rPr>
                <w:sz w:val="18"/>
                <w:szCs w:val="18"/>
              </w:rPr>
              <w:t>2017</w:t>
            </w:r>
          </w:p>
        </w:tc>
        <w:tc>
          <w:tcPr>
            <w:tcW w:w="1304" w:type="dxa"/>
            <w:noWrap/>
            <w:hideMark/>
          </w:tcPr>
          <w:p w14:paraId="4B70D2EC" w14:textId="77777777" w:rsidR="00AA61FD" w:rsidRPr="002C4E07" w:rsidRDefault="00AA61FD" w:rsidP="00945B0D">
            <w:pPr>
              <w:cnfStyle w:val="100000000000" w:firstRow="1" w:lastRow="0" w:firstColumn="0" w:lastColumn="0" w:oddVBand="0" w:evenVBand="0" w:oddHBand="0" w:evenHBand="0" w:firstRowFirstColumn="0" w:firstRowLastColumn="0" w:lastRowFirstColumn="0" w:lastRowLastColumn="0"/>
              <w:rPr>
                <w:sz w:val="18"/>
                <w:szCs w:val="18"/>
              </w:rPr>
            </w:pPr>
            <w:r w:rsidRPr="002C4E07">
              <w:rPr>
                <w:sz w:val="18"/>
                <w:szCs w:val="18"/>
              </w:rPr>
              <w:t>2018</w:t>
            </w:r>
          </w:p>
        </w:tc>
        <w:tc>
          <w:tcPr>
            <w:tcW w:w="1304" w:type="dxa"/>
            <w:noWrap/>
            <w:hideMark/>
          </w:tcPr>
          <w:p w14:paraId="4258829F" w14:textId="77777777" w:rsidR="00AA61FD" w:rsidRPr="002C4E07" w:rsidRDefault="00AA61FD" w:rsidP="00945B0D">
            <w:pPr>
              <w:cnfStyle w:val="100000000000" w:firstRow="1" w:lastRow="0" w:firstColumn="0" w:lastColumn="0" w:oddVBand="0" w:evenVBand="0" w:oddHBand="0" w:evenHBand="0" w:firstRowFirstColumn="0" w:firstRowLastColumn="0" w:lastRowFirstColumn="0" w:lastRowLastColumn="0"/>
              <w:rPr>
                <w:sz w:val="18"/>
                <w:szCs w:val="18"/>
              </w:rPr>
            </w:pPr>
            <w:r w:rsidRPr="002C4E07">
              <w:rPr>
                <w:sz w:val="18"/>
                <w:szCs w:val="18"/>
              </w:rPr>
              <w:t>2019</w:t>
            </w:r>
          </w:p>
        </w:tc>
        <w:tc>
          <w:tcPr>
            <w:tcW w:w="1304" w:type="dxa"/>
            <w:noWrap/>
            <w:hideMark/>
          </w:tcPr>
          <w:p w14:paraId="5897F443" w14:textId="77777777" w:rsidR="00AA61FD" w:rsidRPr="002C4E07" w:rsidRDefault="00AA61FD" w:rsidP="00945B0D">
            <w:pPr>
              <w:cnfStyle w:val="100000000000" w:firstRow="1" w:lastRow="0" w:firstColumn="0" w:lastColumn="0" w:oddVBand="0" w:evenVBand="0" w:oddHBand="0" w:evenHBand="0" w:firstRowFirstColumn="0" w:firstRowLastColumn="0" w:lastRowFirstColumn="0" w:lastRowLastColumn="0"/>
              <w:rPr>
                <w:sz w:val="18"/>
                <w:szCs w:val="18"/>
              </w:rPr>
            </w:pPr>
            <w:r w:rsidRPr="002C4E07">
              <w:rPr>
                <w:sz w:val="18"/>
                <w:szCs w:val="18"/>
              </w:rPr>
              <w:t>2020</w:t>
            </w:r>
          </w:p>
        </w:tc>
      </w:tr>
      <w:tr w:rsidR="00AA61FD" w:rsidRPr="002C4E07" w14:paraId="3F05D738" w14:textId="77777777" w:rsidTr="00945B0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304" w:type="dxa"/>
            <w:noWrap/>
            <w:hideMark/>
          </w:tcPr>
          <w:p w14:paraId="2577FE50" w14:textId="77777777" w:rsidR="00AA61FD" w:rsidRPr="002C4E07" w:rsidRDefault="00AA61FD" w:rsidP="00945B0D">
            <w:pPr>
              <w:rPr>
                <w:sz w:val="18"/>
                <w:szCs w:val="18"/>
              </w:rPr>
            </w:pPr>
            <w:r w:rsidRPr="002C4E07">
              <w:rPr>
                <w:sz w:val="18"/>
                <w:szCs w:val="18"/>
              </w:rPr>
              <w:t>1-4 ansatte</w:t>
            </w:r>
          </w:p>
        </w:tc>
        <w:tc>
          <w:tcPr>
            <w:tcW w:w="1304" w:type="dxa"/>
            <w:noWrap/>
            <w:hideMark/>
          </w:tcPr>
          <w:p w14:paraId="076403E1"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54,6 %</w:t>
            </w:r>
          </w:p>
        </w:tc>
        <w:tc>
          <w:tcPr>
            <w:tcW w:w="1304" w:type="dxa"/>
            <w:noWrap/>
            <w:hideMark/>
          </w:tcPr>
          <w:p w14:paraId="22F586C9"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47,4 %</w:t>
            </w:r>
          </w:p>
        </w:tc>
        <w:tc>
          <w:tcPr>
            <w:tcW w:w="1304" w:type="dxa"/>
            <w:noWrap/>
            <w:hideMark/>
          </w:tcPr>
          <w:p w14:paraId="4040A1C4"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48,8 %</w:t>
            </w:r>
          </w:p>
        </w:tc>
        <w:tc>
          <w:tcPr>
            <w:tcW w:w="1304" w:type="dxa"/>
            <w:noWrap/>
            <w:hideMark/>
          </w:tcPr>
          <w:p w14:paraId="0A8AA064"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49,2 %</w:t>
            </w:r>
          </w:p>
        </w:tc>
        <w:tc>
          <w:tcPr>
            <w:tcW w:w="1304" w:type="dxa"/>
            <w:noWrap/>
            <w:hideMark/>
          </w:tcPr>
          <w:p w14:paraId="0337DB0C"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49,3 %</w:t>
            </w:r>
          </w:p>
        </w:tc>
        <w:tc>
          <w:tcPr>
            <w:tcW w:w="1304" w:type="dxa"/>
            <w:noWrap/>
            <w:hideMark/>
          </w:tcPr>
          <w:p w14:paraId="10DB101D"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49,4 %</w:t>
            </w:r>
          </w:p>
        </w:tc>
      </w:tr>
      <w:tr w:rsidR="00AA61FD" w:rsidRPr="002C4E07" w14:paraId="48FA96A4" w14:textId="77777777" w:rsidTr="00945B0D">
        <w:trPr>
          <w:trHeight w:val="476"/>
        </w:trPr>
        <w:tc>
          <w:tcPr>
            <w:cnfStyle w:val="001000000000" w:firstRow="0" w:lastRow="0" w:firstColumn="1" w:lastColumn="0" w:oddVBand="0" w:evenVBand="0" w:oddHBand="0" w:evenHBand="0" w:firstRowFirstColumn="0" w:firstRowLastColumn="0" w:lastRowFirstColumn="0" w:lastRowLastColumn="0"/>
            <w:tcW w:w="1304" w:type="dxa"/>
            <w:noWrap/>
            <w:hideMark/>
          </w:tcPr>
          <w:p w14:paraId="5E1E500A" w14:textId="77777777" w:rsidR="00AA61FD" w:rsidRPr="002C4E07" w:rsidRDefault="00AA61FD" w:rsidP="00945B0D">
            <w:pPr>
              <w:rPr>
                <w:sz w:val="18"/>
                <w:szCs w:val="18"/>
              </w:rPr>
            </w:pPr>
            <w:r w:rsidRPr="002C4E07">
              <w:rPr>
                <w:sz w:val="18"/>
                <w:szCs w:val="18"/>
              </w:rPr>
              <w:t>5-9 ansatte</w:t>
            </w:r>
          </w:p>
        </w:tc>
        <w:tc>
          <w:tcPr>
            <w:tcW w:w="1304" w:type="dxa"/>
            <w:noWrap/>
            <w:hideMark/>
          </w:tcPr>
          <w:p w14:paraId="4BF18186"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19,4 %</w:t>
            </w:r>
          </w:p>
        </w:tc>
        <w:tc>
          <w:tcPr>
            <w:tcW w:w="1304" w:type="dxa"/>
            <w:noWrap/>
            <w:hideMark/>
          </w:tcPr>
          <w:p w14:paraId="0B02CF1E"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21,4 %</w:t>
            </w:r>
          </w:p>
        </w:tc>
        <w:tc>
          <w:tcPr>
            <w:tcW w:w="1304" w:type="dxa"/>
            <w:noWrap/>
            <w:hideMark/>
          </w:tcPr>
          <w:p w14:paraId="05D078C9"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21,0 %</w:t>
            </w:r>
          </w:p>
        </w:tc>
        <w:tc>
          <w:tcPr>
            <w:tcW w:w="1304" w:type="dxa"/>
            <w:noWrap/>
            <w:hideMark/>
          </w:tcPr>
          <w:p w14:paraId="29B6640E"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20,9 %</w:t>
            </w:r>
          </w:p>
        </w:tc>
        <w:tc>
          <w:tcPr>
            <w:tcW w:w="1304" w:type="dxa"/>
            <w:noWrap/>
            <w:hideMark/>
          </w:tcPr>
          <w:p w14:paraId="552926EE"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20,6 %</w:t>
            </w:r>
          </w:p>
        </w:tc>
        <w:tc>
          <w:tcPr>
            <w:tcW w:w="1304" w:type="dxa"/>
            <w:noWrap/>
            <w:hideMark/>
          </w:tcPr>
          <w:p w14:paraId="26C75AFE"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20,4 %</w:t>
            </w:r>
          </w:p>
        </w:tc>
      </w:tr>
      <w:tr w:rsidR="00AA61FD" w:rsidRPr="002C4E07" w14:paraId="0C3D4D51" w14:textId="77777777" w:rsidTr="00945B0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304" w:type="dxa"/>
            <w:noWrap/>
            <w:hideMark/>
          </w:tcPr>
          <w:p w14:paraId="5071FFA6" w14:textId="77777777" w:rsidR="00AA61FD" w:rsidRPr="002C4E07" w:rsidRDefault="00AA61FD" w:rsidP="00945B0D">
            <w:pPr>
              <w:rPr>
                <w:sz w:val="18"/>
                <w:szCs w:val="18"/>
              </w:rPr>
            </w:pPr>
            <w:r w:rsidRPr="002C4E07">
              <w:rPr>
                <w:sz w:val="18"/>
                <w:szCs w:val="18"/>
              </w:rPr>
              <w:t>10-19 ansatte</w:t>
            </w:r>
          </w:p>
        </w:tc>
        <w:tc>
          <w:tcPr>
            <w:tcW w:w="1304" w:type="dxa"/>
            <w:noWrap/>
            <w:hideMark/>
          </w:tcPr>
          <w:p w14:paraId="406956A0"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13,4 %</w:t>
            </w:r>
          </w:p>
        </w:tc>
        <w:tc>
          <w:tcPr>
            <w:tcW w:w="1304" w:type="dxa"/>
            <w:noWrap/>
            <w:hideMark/>
          </w:tcPr>
          <w:p w14:paraId="242D115E"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15,4 %</w:t>
            </w:r>
          </w:p>
        </w:tc>
        <w:tc>
          <w:tcPr>
            <w:tcW w:w="1304" w:type="dxa"/>
            <w:noWrap/>
            <w:hideMark/>
          </w:tcPr>
          <w:p w14:paraId="7000036F"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15,0 %</w:t>
            </w:r>
          </w:p>
        </w:tc>
        <w:tc>
          <w:tcPr>
            <w:tcW w:w="1304" w:type="dxa"/>
            <w:noWrap/>
            <w:hideMark/>
          </w:tcPr>
          <w:p w14:paraId="4B90B3AF"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14,8 %</w:t>
            </w:r>
          </w:p>
        </w:tc>
        <w:tc>
          <w:tcPr>
            <w:tcW w:w="1304" w:type="dxa"/>
            <w:noWrap/>
            <w:hideMark/>
          </w:tcPr>
          <w:p w14:paraId="094A0BE1"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14,9 %</w:t>
            </w:r>
          </w:p>
        </w:tc>
        <w:tc>
          <w:tcPr>
            <w:tcW w:w="1304" w:type="dxa"/>
            <w:noWrap/>
            <w:hideMark/>
          </w:tcPr>
          <w:p w14:paraId="78B67F44"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14,8 %</w:t>
            </w:r>
          </w:p>
        </w:tc>
      </w:tr>
      <w:tr w:rsidR="00AA61FD" w:rsidRPr="002C4E07" w14:paraId="14D1CF6B" w14:textId="77777777" w:rsidTr="00945B0D">
        <w:trPr>
          <w:trHeight w:val="476"/>
        </w:trPr>
        <w:tc>
          <w:tcPr>
            <w:cnfStyle w:val="001000000000" w:firstRow="0" w:lastRow="0" w:firstColumn="1" w:lastColumn="0" w:oddVBand="0" w:evenVBand="0" w:oddHBand="0" w:evenHBand="0" w:firstRowFirstColumn="0" w:firstRowLastColumn="0" w:lastRowFirstColumn="0" w:lastRowLastColumn="0"/>
            <w:tcW w:w="1304" w:type="dxa"/>
            <w:noWrap/>
            <w:hideMark/>
          </w:tcPr>
          <w:p w14:paraId="26CBC869" w14:textId="77777777" w:rsidR="00AA61FD" w:rsidRPr="002C4E07" w:rsidRDefault="00AA61FD" w:rsidP="00945B0D">
            <w:pPr>
              <w:rPr>
                <w:sz w:val="18"/>
                <w:szCs w:val="18"/>
              </w:rPr>
            </w:pPr>
            <w:r w:rsidRPr="002C4E07">
              <w:rPr>
                <w:sz w:val="18"/>
                <w:szCs w:val="18"/>
              </w:rPr>
              <w:t>20-49 ansatte</w:t>
            </w:r>
          </w:p>
        </w:tc>
        <w:tc>
          <w:tcPr>
            <w:tcW w:w="1304" w:type="dxa"/>
            <w:noWrap/>
            <w:hideMark/>
          </w:tcPr>
          <w:p w14:paraId="72D42F85"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8,6 %</w:t>
            </w:r>
          </w:p>
        </w:tc>
        <w:tc>
          <w:tcPr>
            <w:tcW w:w="1304" w:type="dxa"/>
            <w:noWrap/>
            <w:hideMark/>
          </w:tcPr>
          <w:p w14:paraId="512FF72E"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10,8 %</w:t>
            </w:r>
          </w:p>
        </w:tc>
        <w:tc>
          <w:tcPr>
            <w:tcW w:w="1304" w:type="dxa"/>
            <w:noWrap/>
            <w:hideMark/>
          </w:tcPr>
          <w:p w14:paraId="382A6EE9"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10,4 %</w:t>
            </w:r>
          </w:p>
        </w:tc>
        <w:tc>
          <w:tcPr>
            <w:tcW w:w="1304" w:type="dxa"/>
            <w:noWrap/>
            <w:hideMark/>
          </w:tcPr>
          <w:p w14:paraId="4EEDBA42"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10,3 %</w:t>
            </w:r>
          </w:p>
        </w:tc>
        <w:tc>
          <w:tcPr>
            <w:tcW w:w="1304" w:type="dxa"/>
            <w:noWrap/>
            <w:hideMark/>
          </w:tcPr>
          <w:p w14:paraId="110F591C"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10,3 %</w:t>
            </w:r>
          </w:p>
        </w:tc>
        <w:tc>
          <w:tcPr>
            <w:tcW w:w="1304" w:type="dxa"/>
            <w:noWrap/>
            <w:hideMark/>
          </w:tcPr>
          <w:p w14:paraId="14DA4690"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10,4 %</w:t>
            </w:r>
          </w:p>
        </w:tc>
      </w:tr>
      <w:tr w:rsidR="00AA61FD" w:rsidRPr="002C4E07" w14:paraId="2CA58779" w14:textId="77777777" w:rsidTr="00945B0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304" w:type="dxa"/>
            <w:noWrap/>
            <w:hideMark/>
          </w:tcPr>
          <w:p w14:paraId="500EEBD3" w14:textId="77777777" w:rsidR="00AA61FD" w:rsidRPr="002C4E07" w:rsidRDefault="00AA61FD" w:rsidP="00945B0D">
            <w:pPr>
              <w:rPr>
                <w:sz w:val="18"/>
                <w:szCs w:val="18"/>
              </w:rPr>
            </w:pPr>
            <w:r w:rsidRPr="002C4E07">
              <w:rPr>
                <w:sz w:val="18"/>
                <w:szCs w:val="18"/>
              </w:rPr>
              <w:t>50-99 ansatte</w:t>
            </w:r>
          </w:p>
        </w:tc>
        <w:tc>
          <w:tcPr>
            <w:tcW w:w="1304" w:type="dxa"/>
            <w:noWrap/>
            <w:hideMark/>
          </w:tcPr>
          <w:p w14:paraId="6779E115"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2,6 %</w:t>
            </w:r>
          </w:p>
        </w:tc>
        <w:tc>
          <w:tcPr>
            <w:tcW w:w="1304" w:type="dxa"/>
            <w:noWrap/>
            <w:hideMark/>
          </w:tcPr>
          <w:p w14:paraId="49BCBDE4"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3,2 %</w:t>
            </w:r>
          </w:p>
        </w:tc>
        <w:tc>
          <w:tcPr>
            <w:tcW w:w="1304" w:type="dxa"/>
            <w:noWrap/>
            <w:hideMark/>
          </w:tcPr>
          <w:p w14:paraId="68CDB6CE"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3,0 %</w:t>
            </w:r>
          </w:p>
        </w:tc>
        <w:tc>
          <w:tcPr>
            <w:tcW w:w="1304" w:type="dxa"/>
            <w:noWrap/>
            <w:hideMark/>
          </w:tcPr>
          <w:p w14:paraId="36EAFB04"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3,1 %</w:t>
            </w:r>
          </w:p>
        </w:tc>
        <w:tc>
          <w:tcPr>
            <w:tcW w:w="1304" w:type="dxa"/>
            <w:noWrap/>
            <w:hideMark/>
          </w:tcPr>
          <w:p w14:paraId="6FAC9DCB"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3,1 %</w:t>
            </w:r>
          </w:p>
        </w:tc>
        <w:tc>
          <w:tcPr>
            <w:tcW w:w="1304" w:type="dxa"/>
            <w:noWrap/>
            <w:hideMark/>
          </w:tcPr>
          <w:p w14:paraId="4C2E70AD"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3,1 %</w:t>
            </w:r>
          </w:p>
        </w:tc>
      </w:tr>
      <w:tr w:rsidR="00AA61FD" w:rsidRPr="002C4E07" w14:paraId="060A0BC6" w14:textId="77777777" w:rsidTr="00945B0D">
        <w:trPr>
          <w:trHeight w:val="476"/>
        </w:trPr>
        <w:tc>
          <w:tcPr>
            <w:cnfStyle w:val="001000000000" w:firstRow="0" w:lastRow="0" w:firstColumn="1" w:lastColumn="0" w:oddVBand="0" w:evenVBand="0" w:oddHBand="0" w:evenHBand="0" w:firstRowFirstColumn="0" w:firstRowLastColumn="0" w:lastRowFirstColumn="0" w:lastRowLastColumn="0"/>
            <w:tcW w:w="1304" w:type="dxa"/>
            <w:noWrap/>
            <w:hideMark/>
          </w:tcPr>
          <w:p w14:paraId="654AF2A3" w14:textId="77777777" w:rsidR="00AA61FD" w:rsidRPr="002C4E07" w:rsidRDefault="00AA61FD" w:rsidP="00945B0D">
            <w:pPr>
              <w:rPr>
                <w:sz w:val="18"/>
                <w:szCs w:val="18"/>
              </w:rPr>
            </w:pPr>
            <w:r w:rsidRPr="002C4E07">
              <w:rPr>
                <w:sz w:val="18"/>
                <w:szCs w:val="18"/>
              </w:rPr>
              <w:t>100 - 249 ansatte</w:t>
            </w:r>
          </w:p>
        </w:tc>
        <w:tc>
          <w:tcPr>
            <w:tcW w:w="1304" w:type="dxa"/>
            <w:noWrap/>
            <w:hideMark/>
          </w:tcPr>
          <w:p w14:paraId="074B5493"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1,1 %</w:t>
            </w:r>
          </w:p>
        </w:tc>
        <w:tc>
          <w:tcPr>
            <w:tcW w:w="1304" w:type="dxa"/>
            <w:noWrap/>
            <w:hideMark/>
          </w:tcPr>
          <w:p w14:paraId="6FF83A74"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1,4 %</w:t>
            </w:r>
          </w:p>
        </w:tc>
        <w:tc>
          <w:tcPr>
            <w:tcW w:w="1304" w:type="dxa"/>
            <w:noWrap/>
            <w:hideMark/>
          </w:tcPr>
          <w:p w14:paraId="20E7770B"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1,4 %</w:t>
            </w:r>
          </w:p>
        </w:tc>
        <w:tc>
          <w:tcPr>
            <w:tcW w:w="1304" w:type="dxa"/>
            <w:noWrap/>
            <w:hideMark/>
          </w:tcPr>
          <w:p w14:paraId="6ACEA10F"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1,4 %</w:t>
            </w:r>
          </w:p>
        </w:tc>
        <w:tc>
          <w:tcPr>
            <w:tcW w:w="1304" w:type="dxa"/>
            <w:noWrap/>
            <w:hideMark/>
          </w:tcPr>
          <w:p w14:paraId="1405A1E8"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1,4 %</w:t>
            </w:r>
          </w:p>
        </w:tc>
        <w:tc>
          <w:tcPr>
            <w:tcW w:w="1304" w:type="dxa"/>
            <w:noWrap/>
            <w:hideMark/>
          </w:tcPr>
          <w:p w14:paraId="3720F2A9"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1,4 %</w:t>
            </w:r>
          </w:p>
        </w:tc>
      </w:tr>
      <w:tr w:rsidR="00AA61FD" w:rsidRPr="002C4E07" w14:paraId="0654AA18" w14:textId="77777777" w:rsidTr="00945B0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304" w:type="dxa"/>
            <w:noWrap/>
            <w:hideMark/>
          </w:tcPr>
          <w:p w14:paraId="4A725E41" w14:textId="77777777" w:rsidR="00AA61FD" w:rsidRPr="002C4E07" w:rsidRDefault="00AA61FD" w:rsidP="00945B0D">
            <w:pPr>
              <w:rPr>
                <w:sz w:val="18"/>
                <w:szCs w:val="18"/>
              </w:rPr>
            </w:pPr>
            <w:r w:rsidRPr="002C4E07">
              <w:rPr>
                <w:sz w:val="18"/>
                <w:szCs w:val="18"/>
              </w:rPr>
              <w:t>250 ansatte og over</w:t>
            </w:r>
          </w:p>
        </w:tc>
        <w:tc>
          <w:tcPr>
            <w:tcW w:w="1304" w:type="dxa"/>
            <w:noWrap/>
            <w:hideMark/>
          </w:tcPr>
          <w:p w14:paraId="2096CDB7"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0,3 %</w:t>
            </w:r>
          </w:p>
        </w:tc>
        <w:tc>
          <w:tcPr>
            <w:tcW w:w="1304" w:type="dxa"/>
            <w:noWrap/>
            <w:hideMark/>
          </w:tcPr>
          <w:p w14:paraId="545EA0BF"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0,4 %</w:t>
            </w:r>
          </w:p>
        </w:tc>
        <w:tc>
          <w:tcPr>
            <w:tcW w:w="1304" w:type="dxa"/>
            <w:noWrap/>
            <w:hideMark/>
          </w:tcPr>
          <w:p w14:paraId="4D49B33A"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0,4 %</w:t>
            </w:r>
          </w:p>
        </w:tc>
        <w:tc>
          <w:tcPr>
            <w:tcW w:w="1304" w:type="dxa"/>
            <w:noWrap/>
            <w:hideMark/>
          </w:tcPr>
          <w:p w14:paraId="1F6D8ADE"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0,4 %</w:t>
            </w:r>
          </w:p>
        </w:tc>
        <w:tc>
          <w:tcPr>
            <w:tcW w:w="1304" w:type="dxa"/>
            <w:noWrap/>
            <w:hideMark/>
          </w:tcPr>
          <w:p w14:paraId="48753579"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0,4 %</w:t>
            </w:r>
          </w:p>
        </w:tc>
        <w:tc>
          <w:tcPr>
            <w:tcW w:w="1304" w:type="dxa"/>
            <w:noWrap/>
            <w:hideMark/>
          </w:tcPr>
          <w:p w14:paraId="53914018"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0,4 %</w:t>
            </w:r>
          </w:p>
        </w:tc>
      </w:tr>
    </w:tbl>
    <w:p w14:paraId="790E183B" w14:textId="77777777" w:rsidR="00AA61FD" w:rsidRPr="00A4505C" w:rsidRDefault="00AA61FD" w:rsidP="00AA61FD">
      <w:r w:rsidRPr="00660761">
        <w:rPr>
          <w:sz w:val="16"/>
          <w:szCs w:val="16"/>
        </w:rPr>
        <w:t>Kilde: SSB</w:t>
      </w:r>
      <w:r>
        <w:rPr>
          <w:sz w:val="16"/>
          <w:szCs w:val="16"/>
        </w:rPr>
        <w:br/>
      </w:r>
      <w:r>
        <w:rPr>
          <w:sz w:val="16"/>
          <w:szCs w:val="16"/>
        </w:rPr>
        <w:br/>
      </w:r>
      <w:r>
        <w:br/>
      </w:r>
      <w:r>
        <w:br/>
      </w:r>
    </w:p>
    <w:p w14:paraId="200033EB" w14:textId="77777777" w:rsidR="00E93605" w:rsidRDefault="00E93605" w:rsidP="00AA61FD">
      <w:pPr>
        <w:pStyle w:val="Bildetekst"/>
        <w:keepNext/>
        <w:rPr>
          <w:sz w:val="20"/>
          <w:szCs w:val="22"/>
        </w:rPr>
      </w:pPr>
    </w:p>
    <w:p w14:paraId="6BD29B7C" w14:textId="77777777" w:rsidR="00E93605" w:rsidRDefault="00E93605" w:rsidP="00AA61FD">
      <w:pPr>
        <w:pStyle w:val="Bildetekst"/>
        <w:keepNext/>
        <w:rPr>
          <w:sz w:val="20"/>
          <w:szCs w:val="22"/>
        </w:rPr>
      </w:pPr>
    </w:p>
    <w:p w14:paraId="2CC49482" w14:textId="42D4767E" w:rsidR="00AA61FD" w:rsidRPr="009A0374" w:rsidRDefault="00AA61FD" w:rsidP="00AA61FD">
      <w:pPr>
        <w:pStyle w:val="Bildetekst"/>
        <w:keepNext/>
        <w:rPr>
          <w:sz w:val="20"/>
          <w:szCs w:val="22"/>
        </w:rPr>
      </w:pPr>
      <w:r w:rsidRPr="009A0374">
        <w:rPr>
          <w:sz w:val="20"/>
          <w:szCs w:val="22"/>
        </w:rPr>
        <w:t xml:space="preserve">Antall registrerte foretak og fordeling av sysselsatte i norske foretak, 2014-2019. </w:t>
      </w:r>
      <w:r>
        <w:rPr>
          <w:sz w:val="20"/>
          <w:szCs w:val="22"/>
        </w:rPr>
        <w:br/>
      </w:r>
      <w:r w:rsidRPr="009A0374">
        <w:rPr>
          <w:sz w:val="20"/>
          <w:szCs w:val="22"/>
        </w:rPr>
        <w:t>Inndelt etter størrelsesgruppe. Foretak unntatt offentlig forvaltning og primærnæringene.</w:t>
      </w:r>
    </w:p>
    <w:tbl>
      <w:tblPr>
        <w:tblStyle w:val="Rutenettabell5mrkuthevingsfarge1"/>
        <w:tblW w:w="4892" w:type="pct"/>
        <w:tblInd w:w="-5" w:type="dxa"/>
        <w:tblLook w:val="04A0" w:firstRow="1" w:lastRow="0" w:firstColumn="1" w:lastColumn="0" w:noHBand="0" w:noVBand="1"/>
      </w:tblPr>
      <w:tblGrid>
        <w:gridCol w:w="1959"/>
        <w:gridCol w:w="1069"/>
        <w:gridCol w:w="1298"/>
        <w:gridCol w:w="1169"/>
        <w:gridCol w:w="1167"/>
        <w:gridCol w:w="1167"/>
        <w:gridCol w:w="1037"/>
      </w:tblGrid>
      <w:tr w:rsidR="00AA61FD" w:rsidRPr="00A611A3" w14:paraId="23F4BEF7" w14:textId="77777777" w:rsidTr="00945B0D">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hideMark/>
          </w:tcPr>
          <w:p w14:paraId="0C82097C" w14:textId="77777777" w:rsidR="00AA61FD" w:rsidRPr="00A611A3" w:rsidRDefault="00AA61FD" w:rsidP="00945B0D">
            <w:pPr>
              <w:spacing w:line="240" w:lineRule="auto"/>
              <w:jc w:val="center"/>
              <w:rPr>
                <w:rFonts w:eastAsia="Times New Roman" w:cs="Calibri"/>
                <w:b w:val="0"/>
                <w:bCs w:val="0"/>
                <w:color w:val="000000"/>
                <w:sz w:val="18"/>
                <w:szCs w:val="18"/>
                <w:lang w:eastAsia="nb-NO"/>
              </w:rPr>
            </w:pPr>
          </w:p>
          <w:p w14:paraId="73B28DBF" w14:textId="77777777" w:rsidR="00AA61FD" w:rsidRPr="00A611A3" w:rsidRDefault="00AA61FD" w:rsidP="00945B0D">
            <w:pPr>
              <w:spacing w:line="240" w:lineRule="auto"/>
              <w:jc w:val="center"/>
              <w:rPr>
                <w:rFonts w:eastAsia="Times New Roman" w:cs="Calibri"/>
                <w:color w:val="000000"/>
                <w:sz w:val="18"/>
                <w:szCs w:val="18"/>
                <w:lang w:eastAsia="nb-NO"/>
              </w:rPr>
            </w:pPr>
            <w:r w:rsidRPr="00A611A3">
              <w:rPr>
                <w:rFonts w:eastAsia="Times New Roman" w:cs="Calibri"/>
                <w:sz w:val="18"/>
                <w:szCs w:val="18"/>
                <w:lang w:eastAsia="nb-NO"/>
              </w:rPr>
              <w:t>Foretak</w:t>
            </w:r>
          </w:p>
        </w:tc>
      </w:tr>
      <w:tr w:rsidR="00AA61FD" w:rsidRPr="00A611A3" w14:paraId="7CD2B1DB" w14:textId="77777777" w:rsidTr="00945B0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7F4ED6D4" w14:textId="77777777" w:rsidR="00AA61FD" w:rsidRPr="00A611A3" w:rsidRDefault="00AA61FD" w:rsidP="00945B0D">
            <w:pPr>
              <w:spacing w:line="240" w:lineRule="auto"/>
              <w:jc w:val="center"/>
              <w:rPr>
                <w:rFonts w:eastAsia="Times New Roman" w:cs="Calibri"/>
                <w:color w:val="000000"/>
                <w:sz w:val="18"/>
                <w:szCs w:val="18"/>
                <w:lang w:eastAsia="nb-NO"/>
              </w:rPr>
            </w:pPr>
          </w:p>
        </w:tc>
        <w:tc>
          <w:tcPr>
            <w:tcW w:w="603" w:type="pct"/>
            <w:noWrap/>
            <w:vAlign w:val="center"/>
            <w:hideMark/>
          </w:tcPr>
          <w:p w14:paraId="0E947FB3"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nb-NO"/>
              </w:rPr>
            </w:pPr>
            <w:r w:rsidRPr="00A611A3">
              <w:rPr>
                <w:rFonts w:eastAsia="Times New Roman" w:cs="Calibri"/>
                <w:b/>
                <w:bCs/>
                <w:color w:val="000000"/>
                <w:sz w:val="18"/>
                <w:szCs w:val="18"/>
                <w:lang w:eastAsia="nb-NO"/>
              </w:rPr>
              <w:t>2014</w:t>
            </w:r>
          </w:p>
        </w:tc>
        <w:tc>
          <w:tcPr>
            <w:tcW w:w="732" w:type="pct"/>
            <w:noWrap/>
            <w:vAlign w:val="center"/>
            <w:hideMark/>
          </w:tcPr>
          <w:p w14:paraId="71F3B317"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nb-NO"/>
              </w:rPr>
            </w:pPr>
            <w:r w:rsidRPr="00A611A3">
              <w:rPr>
                <w:rFonts w:eastAsia="Times New Roman" w:cs="Calibri"/>
                <w:b/>
                <w:bCs/>
                <w:color w:val="000000"/>
                <w:sz w:val="18"/>
                <w:szCs w:val="18"/>
                <w:lang w:eastAsia="nb-NO"/>
              </w:rPr>
              <w:t>2015</w:t>
            </w:r>
          </w:p>
        </w:tc>
        <w:tc>
          <w:tcPr>
            <w:tcW w:w="659" w:type="pct"/>
            <w:noWrap/>
            <w:vAlign w:val="center"/>
            <w:hideMark/>
          </w:tcPr>
          <w:p w14:paraId="2D2A7AFC"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nb-NO"/>
              </w:rPr>
            </w:pPr>
            <w:r w:rsidRPr="00A611A3">
              <w:rPr>
                <w:rFonts w:eastAsia="Times New Roman" w:cs="Calibri"/>
                <w:b/>
                <w:bCs/>
                <w:color w:val="000000"/>
                <w:sz w:val="18"/>
                <w:szCs w:val="18"/>
                <w:lang w:eastAsia="nb-NO"/>
              </w:rPr>
              <w:t>2016</w:t>
            </w:r>
          </w:p>
        </w:tc>
        <w:tc>
          <w:tcPr>
            <w:tcW w:w="658" w:type="pct"/>
            <w:noWrap/>
            <w:vAlign w:val="center"/>
            <w:hideMark/>
          </w:tcPr>
          <w:p w14:paraId="51BCD250"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nb-NO"/>
              </w:rPr>
            </w:pPr>
            <w:r w:rsidRPr="00A611A3">
              <w:rPr>
                <w:rFonts w:eastAsia="Times New Roman" w:cs="Calibri"/>
                <w:b/>
                <w:bCs/>
                <w:color w:val="000000"/>
                <w:sz w:val="18"/>
                <w:szCs w:val="18"/>
                <w:lang w:eastAsia="nb-NO"/>
              </w:rPr>
              <w:t>2017</w:t>
            </w:r>
          </w:p>
        </w:tc>
        <w:tc>
          <w:tcPr>
            <w:tcW w:w="658" w:type="pct"/>
            <w:noWrap/>
            <w:vAlign w:val="center"/>
            <w:hideMark/>
          </w:tcPr>
          <w:p w14:paraId="53DD2CD0"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nb-NO"/>
              </w:rPr>
            </w:pPr>
            <w:r w:rsidRPr="00A611A3">
              <w:rPr>
                <w:rFonts w:eastAsia="Times New Roman" w:cs="Calibri"/>
                <w:b/>
                <w:bCs/>
                <w:color w:val="000000"/>
                <w:sz w:val="18"/>
                <w:szCs w:val="18"/>
                <w:lang w:eastAsia="nb-NO"/>
              </w:rPr>
              <w:t>2018</w:t>
            </w:r>
          </w:p>
        </w:tc>
        <w:tc>
          <w:tcPr>
            <w:tcW w:w="584" w:type="pct"/>
            <w:noWrap/>
            <w:vAlign w:val="center"/>
            <w:hideMark/>
          </w:tcPr>
          <w:p w14:paraId="670D1B06"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nb-NO"/>
              </w:rPr>
            </w:pPr>
            <w:r w:rsidRPr="00A611A3">
              <w:rPr>
                <w:rFonts w:eastAsia="Times New Roman" w:cs="Calibri"/>
                <w:b/>
                <w:bCs/>
                <w:color w:val="000000"/>
                <w:sz w:val="18"/>
                <w:szCs w:val="18"/>
                <w:lang w:eastAsia="nb-NO"/>
              </w:rPr>
              <w:t>2019</w:t>
            </w:r>
          </w:p>
        </w:tc>
      </w:tr>
      <w:tr w:rsidR="00AA61FD" w:rsidRPr="00A611A3" w14:paraId="26B216B7" w14:textId="77777777" w:rsidTr="00945B0D">
        <w:trPr>
          <w:trHeight w:val="489"/>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39FE285A"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Ingen ansatte</w:t>
            </w:r>
          </w:p>
        </w:tc>
        <w:tc>
          <w:tcPr>
            <w:tcW w:w="603" w:type="pct"/>
            <w:noWrap/>
            <w:vAlign w:val="center"/>
            <w:hideMark/>
          </w:tcPr>
          <w:p w14:paraId="665EE008"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262 264</w:t>
            </w:r>
          </w:p>
        </w:tc>
        <w:tc>
          <w:tcPr>
            <w:tcW w:w="732" w:type="pct"/>
            <w:noWrap/>
            <w:vAlign w:val="center"/>
            <w:hideMark/>
          </w:tcPr>
          <w:p w14:paraId="60C57CDA"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258 958</w:t>
            </w:r>
          </w:p>
        </w:tc>
        <w:tc>
          <w:tcPr>
            <w:tcW w:w="659" w:type="pct"/>
            <w:noWrap/>
            <w:vAlign w:val="center"/>
            <w:hideMark/>
          </w:tcPr>
          <w:p w14:paraId="1353B142"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278 593</w:t>
            </w:r>
          </w:p>
        </w:tc>
        <w:tc>
          <w:tcPr>
            <w:tcW w:w="658" w:type="pct"/>
            <w:noWrap/>
            <w:vAlign w:val="center"/>
            <w:hideMark/>
          </w:tcPr>
          <w:p w14:paraId="0CC3E056"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276 807</w:t>
            </w:r>
          </w:p>
        </w:tc>
        <w:tc>
          <w:tcPr>
            <w:tcW w:w="658" w:type="pct"/>
            <w:noWrap/>
            <w:vAlign w:val="center"/>
            <w:hideMark/>
          </w:tcPr>
          <w:p w14:paraId="5181EEED"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280 216</w:t>
            </w:r>
          </w:p>
        </w:tc>
        <w:tc>
          <w:tcPr>
            <w:tcW w:w="584" w:type="pct"/>
            <w:noWrap/>
            <w:vAlign w:val="center"/>
            <w:hideMark/>
          </w:tcPr>
          <w:p w14:paraId="00B7CFF8"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280 065</w:t>
            </w:r>
          </w:p>
        </w:tc>
      </w:tr>
      <w:tr w:rsidR="00AA61FD" w:rsidRPr="00A611A3" w14:paraId="0A26C7B2" w14:textId="77777777" w:rsidTr="00945B0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191E381C"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1-4 ansatte</w:t>
            </w:r>
          </w:p>
        </w:tc>
        <w:tc>
          <w:tcPr>
            <w:tcW w:w="603" w:type="pct"/>
            <w:noWrap/>
            <w:vAlign w:val="center"/>
            <w:hideMark/>
          </w:tcPr>
          <w:p w14:paraId="375B500B"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87 346</w:t>
            </w:r>
          </w:p>
        </w:tc>
        <w:tc>
          <w:tcPr>
            <w:tcW w:w="732" w:type="pct"/>
            <w:noWrap/>
            <w:vAlign w:val="center"/>
            <w:hideMark/>
          </w:tcPr>
          <w:p w14:paraId="451A8B3A"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90 146</w:t>
            </w:r>
          </w:p>
        </w:tc>
        <w:tc>
          <w:tcPr>
            <w:tcW w:w="659" w:type="pct"/>
            <w:noWrap/>
            <w:vAlign w:val="center"/>
            <w:hideMark/>
          </w:tcPr>
          <w:p w14:paraId="265C0E55"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77 782</w:t>
            </w:r>
          </w:p>
        </w:tc>
        <w:tc>
          <w:tcPr>
            <w:tcW w:w="658" w:type="pct"/>
            <w:noWrap/>
            <w:vAlign w:val="center"/>
            <w:hideMark/>
          </w:tcPr>
          <w:p w14:paraId="349E99B0"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81 452</w:t>
            </w:r>
          </w:p>
        </w:tc>
        <w:tc>
          <w:tcPr>
            <w:tcW w:w="658" w:type="pct"/>
            <w:noWrap/>
            <w:vAlign w:val="center"/>
            <w:hideMark/>
          </w:tcPr>
          <w:p w14:paraId="437AC15D"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83 203</w:t>
            </w:r>
          </w:p>
        </w:tc>
        <w:tc>
          <w:tcPr>
            <w:tcW w:w="584" w:type="pct"/>
            <w:noWrap/>
            <w:vAlign w:val="center"/>
            <w:hideMark/>
          </w:tcPr>
          <w:p w14:paraId="5758F11D"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84 908</w:t>
            </w:r>
          </w:p>
        </w:tc>
      </w:tr>
      <w:tr w:rsidR="00AA61FD" w:rsidRPr="00A611A3" w14:paraId="2F68CDCE" w14:textId="77777777" w:rsidTr="00945B0D">
        <w:trPr>
          <w:trHeight w:val="489"/>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0CC7A932"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5-9 ansatte</w:t>
            </w:r>
          </w:p>
        </w:tc>
        <w:tc>
          <w:tcPr>
            <w:tcW w:w="603" w:type="pct"/>
            <w:noWrap/>
            <w:vAlign w:val="center"/>
            <w:hideMark/>
          </w:tcPr>
          <w:p w14:paraId="62B2991C"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24 974</w:t>
            </w:r>
          </w:p>
        </w:tc>
        <w:tc>
          <w:tcPr>
            <w:tcW w:w="732" w:type="pct"/>
            <w:noWrap/>
            <w:vAlign w:val="center"/>
            <w:hideMark/>
          </w:tcPr>
          <w:p w14:paraId="78A8BEFB"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25 683</w:t>
            </w:r>
          </w:p>
        </w:tc>
        <w:tc>
          <w:tcPr>
            <w:tcW w:w="659" w:type="pct"/>
            <w:noWrap/>
            <w:vAlign w:val="center"/>
            <w:hideMark/>
          </w:tcPr>
          <w:p w14:paraId="7CB38E07"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26 747</w:t>
            </w:r>
          </w:p>
        </w:tc>
        <w:tc>
          <w:tcPr>
            <w:tcW w:w="658" w:type="pct"/>
            <w:noWrap/>
            <w:vAlign w:val="center"/>
            <w:hideMark/>
          </w:tcPr>
          <w:p w14:paraId="0F5CA3A6"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26 858</w:t>
            </w:r>
          </w:p>
        </w:tc>
        <w:tc>
          <w:tcPr>
            <w:tcW w:w="658" w:type="pct"/>
            <w:noWrap/>
            <w:vAlign w:val="center"/>
            <w:hideMark/>
          </w:tcPr>
          <w:p w14:paraId="6FFEC994"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27 023</w:t>
            </w:r>
          </w:p>
        </w:tc>
        <w:tc>
          <w:tcPr>
            <w:tcW w:w="584" w:type="pct"/>
            <w:noWrap/>
            <w:vAlign w:val="center"/>
            <w:hideMark/>
          </w:tcPr>
          <w:p w14:paraId="1C882E66"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26 944</w:t>
            </w:r>
          </w:p>
        </w:tc>
      </w:tr>
      <w:tr w:rsidR="00AA61FD" w:rsidRPr="00A611A3" w14:paraId="3768B89E" w14:textId="77777777" w:rsidTr="00945B0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62AC2E00"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10-19 ansatte</w:t>
            </w:r>
          </w:p>
        </w:tc>
        <w:tc>
          <w:tcPr>
            <w:tcW w:w="603" w:type="pct"/>
            <w:noWrap/>
            <w:vAlign w:val="center"/>
            <w:hideMark/>
          </w:tcPr>
          <w:p w14:paraId="026DB1DC"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14 779</w:t>
            </w:r>
          </w:p>
        </w:tc>
        <w:tc>
          <w:tcPr>
            <w:tcW w:w="732" w:type="pct"/>
            <w:noWrap/>
            <w:vAlign w:val="center"/>
            <w:hideMark/>
          </w:tcPr>
          <w:p w14:paraId="454D0210"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15 140</w:t>
            </w:r>
          </w:p>
        </w:tc>
        <w:tc>
          <w:tcPr>
            <w:tcW w:w="659" w:type="pct"/>
            <w:noWrap/>
            <w:vAlign w:val="center"/>
            <w:hideMark/>
          </w:tcPr>
          <w:p w14:paraId="3655020C"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16 551</w:t>
            </w:r>
          </w:p>
        </w:tc>
        <w:tc>
          <w:tcPr>
            <w:tcW w:w="658" w:type="pct"/>
            <w:noWrap/>
            <w:vAlign w:val="center"/>
            <w:hideMark/>
          </w:tcPr>
          <w:p w14:paraId="763C55DB"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16 446</w:t>
            </w:r>
          </w:p>
        </w:tc>
        <w:tc>
          <w:tcPr>
            <w:tcW w:w="658" w:type="pct"/>
            <w:noWrap/>
            <w:vAlign w:val="center"/>
            <w:hideMark/>
          </w:tcPr>
          <w:p w14:paraId="03B6A80D"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16 659</w:t>
            </w:r>
          </w:p>
        </w:tc>
        <w:tc>
          <w:tcPr>
            <w:tcW w:w="584" w:type="pct"/>
            <w:noWrap/>
            <w:vAlign w:val="center"/>
            <w:hideMark/>
          </w:tcPr>
          <w:p w14:paraId="1159A702"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16 761</w:t>
            </w:r>
          </w:p>
        </w:tc>
      </w:tr>
      <w:tr w:rsidR="00AA61FD" w:rsidRPr="00A611A3" w14:paraId="5488A93D" w14:textId="77777777" w:rsidTr="00945B0D">
        <w:trPr>
          <w:trHeight w:val="489"/>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477F446A"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20-49 ansatte</w:t>
            </w:r>
          </w:p>
        </w:tc>
        <w:tc>
          <w:tcPr>
            <w:tcW w:w="603" w:type="pct"/>
            <w:noWrap/>
            <w:vAlign w:val="center"/>
            <w:hideMark/>
          </w:tcPr>
          <w:p w14:paraId="78706721"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8 215</w:t>
            </w:r>
          </w:p>
        </w:tc>
        <w:tc>
          <w:tcPr>
            <w:tcW w:w="732" w:type="pct"/>
            <w:noWrap/>
            <w:vAlign w:val="center"/>
            <w:hideMark/>
          </w:tcPr>
          <w:p w14:paraId="0B3147EA"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8 368</w:t>
            </w:r>
          </w:p>
        </w:tc>
        <w:tc>
          <w:tcPr>
            <w:tcW w:w="659" w:type="pct"/>
            <w:noWrap/>
            <w:vAlign w:val="center"/>
            <w:hideMark/>
          </w:tcPr>
          <w:p w14:paraId="7CA09746"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9 592</w:t>
            </w:r>
          </w:p>
        </w:tc>
        <w:tc>
          <w:tcPr>
            <w:tcW w:w="658" w:type="pct"/>
            <w:noWrap/>
            <w:vAlign w:val="center"/>
            <w:hideMark/>
          </w:tcPr>
          <w:p w14:paraId="37D84C45"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9 378</w:t>
            </w:r>
          </w:p>
        </w:tc>
        <w:tc>
          <w:tcPr>
            <w:tcW w:w="658" w:type="pct"/>
            <w:noWrap/>
            <w:vAlign w:val="center"/>
            <w:hideMark/>
          </w:tcPr>
          <w:p w14:paraId="7FF2C602"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9 550</w:t>
            </w:r>
          </w:p>
        </w:tc>
        <w:tc>
          <w:tcPr>
            <w:tcW w:w="584" w:type="pct"/>
            <w:noWrap/>
            <w:vAlign w:val="center"/>
            <w:hideMark/>
          </w:tcPr>
          <w:p w14:paraId="1FA33DDA"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9 669</w:t>
            </w:r>
          </w:p>
        </w:tc>
      </w:tr>
      <w:tr w:rsidR="00AA61FD" w:rsidRPr="00A611A3" w14:paraId="6BC23CE4" w14:textId="77777777" w:rsidTr="00945B0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19D16939"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50-99 ansatte</w:t>
            </w:r>
          </w:p>
        </w:tc>
        <w:tc>
          <w:tcPr>
            <w:tcW w:w="603" w:type="pct"/>
            <w:noWrap/>
            <w:vAlign w:val="center"/>
            <w:hideMark/>
          </w:tcPr>
          <w:p w14:paraId="11BE5DF1"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2 160</w:t>
            </w:r>
          </w:p>
        </w:tc>
        <w:tc>
          <w:tcPr>
            <w:tcW w:w="732" w:type="pct"/>
            <w:noWrap/>
            <w:vAlign w:val="center"/>
            <w:hideMark/>
          </w:tcPr>
          <w:p w14:paraId="4F269CCC"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2 236</w:t>
            </w:r>
          </w:p>
        </w:tc>
        <w:tc>
          <w:tcPr>
            <w:tcW w:w="659" w:type="pct"/>
            <w:noWrap/>
            <w:vAlign w:val="center"/>
            <w:hideMark/>
          </w:tcPr>
          <w:p w14:paraId="175A2B6F"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2 434</w:t>
            </w:r>
          </w:p>
        </w:tc>
        <w:tc>
          <w:tcPr>
            <w:tcW w:w="658" w:type="pct"/>
            <w:noWrap/>
            <w:vAlign w:val="center"/>
            <w:hideMark/>
          </w:tcPr>
          <w:p w14:paraId="7940F552"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2 353</w:t>
            </w:r>
          </w:p>
        </w:tc>
        <w:tc>
          <w:tcPr>
            <w:tcW w:w="658" w:type="pct"/>
            <w:noWrap/>
            <w:vAlign w:val="center"/>
            <w:hideMark/>
          </w:tcPr>
          <w:p w14:paraId="4C104D3D"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2 463</w:t>
            </w:r>
          </w:p>
        </w:tc>
        <w:tc>
          <w:tcPr>
            <w:tcW w:w="584" w:type="pct"/>
            <w:noWrap/>
            <w:vAlign w:val="center"/>
            <w:hideMark/>
          </w:tcPr>
          <w:p w14:paraId="28700024"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2 574</w:t>
            </w:r>
          </w:p>
        </w:tc>
      </w:tr>
      <w:tr w:rsidR="00AA61FD" w:rsidRPr="00A611A3" w14:paraId="564621D4" w14:textId="77777777" w:rsidTr="00945B0D">
        <w:trPr>
          <w:trHeight w:val="489"/>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15A6F28A"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100 ansatte og over</w:t>
            </w:r>
          </w:p>
        </w:tc>
        <w:tc>
          <w:tcPr>
            <w:tcW w:w="603" w:type="pct"/>
            <w:noWrap/>
            <w:vAlign w:val="center"/>
            <w:hideMark/>
          </w:tcPr>
          <w:p w14:paraId="40B3476A"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1 956</w:t>
            </w:r>
          </w:p>
        </w:tc>
        <w:tc>
          <w:tcPr>
            <w:tcW w:w="732" w:type="pct"/>
            <w:noWrap/>
            <w:vAlign w:val="center"/>
            <w:hideMark/>
          </w:tcPr>
          <w:p w14:paraId="38C77896"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1 982</w:t>
            </w:r>
          </w:p>
        </w:tc>
        <w:tc>
          <w:tcPr>
            <w:tcW w:w="659" w:type="pct"/>
            <w:noWrap/>
            <w:vAlign w:val="center"/>
            <w:hideMark/>
          </w:tcPr>
          <w:p w14:paraId="5769EC7B"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2 062</w:t>
            </w:r>
          </w:p>
        </w:tc>
        <w:tc>
          <w:tcPr>
            <w:tcW w:w="658" w:type="pct"/>
            <w:noWrap/>
            <w:vAlign w:val="center"/>
            <w:hideMark/>
          </w:tcPr>
          <w:p w14:paraId="15A20A4C"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2 071</w:t>
            </w:r>
          </w:p>
        </w:tc>
        <w:tc>
          <w:tcPr>
            <w:tcW w:w="658" w:type="pct"/>
            <w:noWrap/>
            <w:vAlign w:val="center"/>
            <w:hideMark/>
          </w:tcPr>
          <w:p w14:paraId="0471B066"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2 111</w:t>
            </w:r>
          </w:p>
        </w:tc>
        <w:tc>
          <w:tcPr>
            <w:tcW w:w="584" w:type="pct"/>
            <w:noWrap/>
            <w:vAlign w:val="center"/>
            <w:hideMark/>
          </w:tcPr>
          <w:p w14:paraId="1888E1AB"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2 141</w:t>
            </w:r>
          </w:p>
        </w:tc>
      </w:tr>
      <w:tr w:rsidR="00AA61FD" w:rsidRPr="00A611A3" w14:paraId="7DC3C225" w14:textId="77777777" w:rsidTr="00945B0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5B8CB182"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Foretak i alt</w:t>
            </w:r>
          </w:p>
        </w:tc>
        <w:tc>
          <w:tcPr>
            <w:tcW w:w="603" w:type="pct"/>
            <w:noWrap/>
            <w:vAlign w:val="center"/>
            <w:hideMark/>
          </w:tcPr>
          <w:p w14:paraId="3F82ACDB"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401 694</w:t>
            </w:r>
          </w:p>
        </w:tc>
        <w:tc>
          <w:tcPr>
            <w:tcW w:w="732" w:type="pct"/>
            <w:noWrap/>
            <w:vAlign w:val="center"/>
            <w:hideMark/>
          </w:tcPr>
          <w:p w14:paraId="132E253A"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402 513</w:t>
            </w:r>
          </w:p>
        </w:tc>
        <w:tc>
          <w:tcPr>
            <w:tcW w:w="659" w:type="pct"/>
            <w:noWrap/>
            <w:vAlign w:val="center"/>
            <w:hideMark/>
          </w:tcPr>
          <w:p w14:paraId="6C56E979"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413 761</w:t>
            </w:r>
          </w:p>
        </w:tc>
        <w:tc>
          <w:tcPr>
            <w:tcW w:w="658" w:type="pct"/>
            <w:noWrap/>
            <w:vAlign w:val="center"/>
            <w:hideMark/>
          </w:tcPr>
          <w:p w14:paraId="5D47CB21"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415 365</w:t>
            </w:r>
          </w:p>
        </w:tc>
        <w:tc>
          <w:tcPr>
            <w:tcW w:w="658" w:type="pct"/>
            <w:noWrap/>
            <w:vAlign w:val="center"/>
            <w:hideMark/>
          </w:tcPr>
          <w:p w14:paraId="26489AB7"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421 225</w:t>
            </w:r>
          </w:p>
        </w:tc>
        <w:tc>
          <w:tcPr>
            <w:tcW w:w="584" w:type="pct"/>
            <w:noWrap/>
            <w:vAlign w:val="center"/>
            <w:hideMark/>
          </w:tcPr>
          <w:p w14:paraId="4A641D45"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423 062</w:t>
            </w:r>
          </w:p>
        </w:tc>
      </w:tr>
      <w:tr w:rsidR="00AA61FD" w:rsidRPr="00A611A3" w14:paraId="393F9370" w14:textId="77777777" w:rsidTr="00945B0D">
        <w:trPr>
          <w:trHeight w:val="625"/>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hideMark/>
          </w:tcPr>
          <w:p w14:paraId="59FBFCBA" w14:textId="77777777" w:rsidR="00AA61FD" w:rsidRPr="00A611A3" w:rsidRDefault="00AA61FD" w:rsidP="00945B0D">
            <w:pPr>
              <w:spacing w:line="240" w:lineRule="auto"/>
              <w:jc w:val="center"/>
              <w:rPr>
                <w:rFonts w:eastAsia="Times New Roman" w:cs="Calibri"/>
                <w:b w:val="0"/>
                <w:bCs w:val="0"/>
                <w:sz w:val="18"/>
                <w:szCs w:val="18"/>
                <w:lang w:eastAsia="nb-NO"/>
              </w:rPr>
            </w:pPr>
          </w:p>
          <w:p w14:paraId="331B4C01"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Ansatte</w:t>
            </w:r>
          </w:p>
        </w:tc>
      </w:tr>
      <w:tr w:rsidR="00AA61FD" w:rsidRPr="00A611A3" w14:paraId="00BD44AD" w14:textId="77777777" w:rsidTr="00945B0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5707F7B1"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Ingen ansatte</w:t>
            </w:r>
          </w:p>
        </w:tc>
        <w:tc>
          <w:tcPr>
            <w:tcW w:w="603" w:type="pct"/>
            <w:noWrap/>
            <w:vAlign w:val="center"/>
            <w:hideMark/>
          </w:tcPr>
          <w:p w14:paraId="67B6307E"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w:t>
            </w:r>
          </w:p>
        </w:tc>
        <w:tc>
          <w:tcPr>
            <w:tcW w:w="732" w:type="pct"/>
            <w:noWrap/>
            <w:vAlign w:val="center"/>
            <w:hideMark/>
          </w:tcPr>
          <w:p w14:paraId="536F40E4"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w:t>
            </w:r>
          </w:p>
        </w:tc>
        <w:tc>
          <w:tcPr>
            <w:tcW w:w="659" w:type="pct"/>
            <w:noWrap/>
            <w:vAlign w:val="center"/>
            <w:hideMark/>
          </w:tcPr>
          <w:p w14:paraId="6E1952FA"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w:t>
            </w:r>
          </w:p>
        </w:tc>
        <w:tc>
          <w:tcPr>
            <w:tcW w:w="658" w:type="pct"/>
            <w:noWrap/>
            <w:vAlign w:val="center"/>
            <w:hideMark/>
          </w:tcPr>
          <w:p w14:paraId="5C912D17"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w:t>
            </w:r>
          </w:p>
        </w:tc>
        <w:tc>
          <w:tcPr>
            <w:tcW w:w="658" w:type="pct"/>
            <w:noWrap/>
            <w:vAlign w:val="center"/>
            <w:hideMark/>
          </w:tcPr>
          <w:p w14:paraId="487BB754"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w:t>
            </w:r>
          </w:p>
        </w:tc>
        <w:tc>
          <w:tcPr>
            <w:tcW w:w="584" w:type="pct"/>
            <w:noWrap/>
            <w:vAlign w:val="center"/>
            <w:hideMark/>
          </w:tcPr>
          <w:p w14:paraId="4D34E18A"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w:t>
            </w:r>
          </w:p>
        </w:tc>
      </w:tr>
      <w:tr w:rsidR="00AA61FD" w:rsidRPr="00A611A3" w14:paraId="2D4D2855" w14:textId="77777777" w:rsidTr="00945B0D">
        <w:trPr>
          <w:trHeight w:val="489"/>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780056A5"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1-4 ansatte</w:t>
            </w:r>
          </w:p>
        </w:tc>
        <w:tc>
          <w:tcPr>
            <w:tcW w:w="603" w:type="pct"/>
            <w:noWrap/>
            <w:vAlign w:val="center"/>
            <w:hideMark/>
          </w:tcPr>
          <w:p w14:paraId="4008E1D1"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167 782</w:t>
            </w:r>
          </w:p>
        </w:tc>
        <w:tc>
          <w:tcPr>
            <w:tcW w:w="732" w:type="pct"/>
            <w:noWrap/>
            <w:vAlign w:val="center"/>
            <w:hideMark/>
          </w:tcPr>
          <w:p w14:paraId="2FCBE744"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171 822</w:t>
            </w:r>
          </w:p>
        </w:tc>
        <w:tc>
          <w:tcPr>
            <w:tcW w:w="659" w:type="pct"/>
            <w:noWrap/>
            <w:vAlign w:val="center"/>
            <w:hideMark/>
          </w:tcPr>
          <w:p w14:paraId="3C73FB76"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152 753</w:t>
            </w:r>
          </w:p>
        </w:tc>
        <w:tc>
          <w:tcPr>
            <w:tcW w:w="658" w:type="pct"/>
            <w:noWrap/>
            <w:vAlign w:val="center"/>
            <w:hideMark/>
          </w:tcPr>
          <w:p w14:paraId="4882BCF3"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158 497</w:t>
            </w:r>
          </w:p>
        </w:tc>
        <w:tc>
          <w:tcPr>
            <w:tcW w:w="658" w:type="pct"/>
            <w:noWrap/>
            <w:vAlign w:val="center"/>
            <w:hideMark/>
          </w:tcPr>
          <w:p w14:paraId="5A97A35F"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160 516</w:t>
            </w:r>
          </w:p>
        </w:tc>
        <w:tc>
          <w:tcPr>
            <w:tcW w:w="584" w:type="pct"/>
            <w:noWrap/>
            <w:vAlign w:val="center"/>
            <w:hideMark/>
          </w:tcPr>
          <w:p w14:paraId="06635F56"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162 715</w:t>
            </w:r>
          </w:p>
        </w:tc>
      </w:tr>
      <w:tr w:rsidR="00AA61FD" w:rsidRPr="00A611A3" w14:paraId="42AE07EF" w14:textId="77777777" w:rsidTr="00945B0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0411004D"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5-9 ansatte</w:t>
            </w:r>
          </w:p>
        </w:tc>
        <w:tc>
          <w:tcPr>
            <w:tcW w:w="603" w:type="pct"/>
            <w:noWrap/>
            <w:vAlign w:val="center"/>
            <w:hideMark/>
          </w:tcPr>
          <w:p w14:paraId="1B453F06"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164 065</w:t>
            </w:r>
          </w:p>
        </w:tc>
        <w:tc>
          <w:tcPr>
            <w:tcW w:w="732" w:type="pct"/>
            <w:noWrap/>
            <w:vAlign w:val="center"/>
            <w:hideMark/>
          </w:tcPr>
          <w:p w14:paraId="4A8F93BC"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168 573</w:t>
            </w:r>
          </w:p>
        </w:tc>
        <w:tc>
          <w:tcPr>
            <w:tcW w:w="659" w:type="pct"/>
            <w:noWrap/>
            <w:vAlign w:val="center"/>
            <w:hideMark/>
          </w:tcPr>
          <w:p w14:paraId="012362E0"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176 204</w:t>
            </w:r>
          </w:p>
        </w:tc>
        <w:tc>
          <w:tcPr>
            <w:tcW w:w="658" w:type="pct"/>
            <w:noWrap/>
            <w:vAlign w:val="center"/>
            <w:hideMark/>
          </w:tcPr>
          <w:p w14:paraId="4594DB1B"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176 703</w:t>
            </w:r>
          </w:p>
        </w:tc>
        <w:tc>
          <w:tcPr>
            <w:tcW w:w="658" w:type="pct"/>
            <w:noWrap/>
            <w:vAlign w:val="center"/>
            <w:hideMark/>
          </w:tcPr>
          <w:p w14:paraId="7AA66955"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177 966</w:t>
            </w:r>
          </w:p>
        </w:tc>
        <w:tc>
          <w:tcPr>
            <w:tcW w:w="584" w:type="pct"/>
            <w:noWrap/>
            <w:vAlign w:val="center"/>
            <w:hideMark/>
          </w:tcPr>
          <w:p w14:paraId="5D23D4F8"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177 752</w:t>
            </w:r>
          </w:p>
        </w:tc>
      </w:tr>
      <w:tr w:rsidR="00AA61FD" w:rsidRPr="00A611A3" w14:paraId="43D61D63" w14:textId="77777777" w:rsidTr="00945B0D">
        <w:trPr>
          <w:trHeight w:val="489"/>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29732D7F"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10-19 ansatte</w:t>
            </w:r>
          </w:p>
        </w:tc>
        <w:tc>
          <w:tcPr>
            <w:tcW w:w="603" w:type="pct"/>
            <w:noWrap/>
            <w:vAlign w:val="center"/>
            <w:hideMark/>
          </w:tcPr>
          <w:p w14:paraId="42A53A87"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198 851</w:t>
            </w:r>
          </w:p>
        </w:tc>
        <w:tc>
          <w:tcPr>
            <w:tcW w:w="732" w:type="pct"/>
            <w:noWrap/>
            <w:vAlign w:val="center"/>
            <w:hideMark/>
          </w:tcPr>
          <w:p w14:paraId="57C31B44"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203 890</w:t>
            </w:r>
          </w:p>
        </w:tc>
        <w:tc>
          <w:tcPr>
            <w:tcW w:w="659" w:type="pct"/>
            <w:noWrap/>
            <w:vAlign w:val="center"/>
            <w:hideMark/>
          </w:tcPr>
          <w:p w14:paraId="72F9F1D1"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222 748</w:t>
            </w:r>
          </w:p>
        </w:tc>
        <w:tc>
          <w:tcPr>
            <w:tcW w:w="658" w:type="pct"/>
            <w:noWrap/>
            <w:vAlign w:val="center"/>
            <w:hideMark/>
          </w:tcPr>
          <w:p w14:paraId="79BED143"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221 032</w:t>
            </w:r>
          </w:p>
        </w:tc>
        <w:tc>
          <w:tcPr>
            <w:tcW w:w="658" w:type="pct"/>
            <w:noWrap/>
            <w:vAlign w:val="center"/>
            <w:hideMark/>
          </w:tcPr>
          <w:p w14:paraId="286EFEBD"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223 746</w:t>
            </w:r>
          </w:p>
        </w:tc>
        <w:tc>
          <w:tcPr>
            <w:tcW w:w="584" w:type="pct"/>
            <w:noWrap/>
            <w:vAlign w:val="center"/>
            <w:hideMark/>
          </w:tcPr>
          <w:p w14:paraId="452F54D4"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225 356</w:t>
            </w:r>
          </w:p>
        </w:tc>
      </w:tr>
      <w:tr w:rsidR="00AA61FD" w:rsidRPr="00A611A3" w14:paraId="3435ED59" w14:textId="77777777" w:rsidTr="00945B0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083226AD"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20-49 ansatte</w:t>
            </w:r>
          </w:p>
        </w:tc>
        <w:tc>
          <w:tcPr>
            <w:tcW w:w="603" w:type="pct"/>
            <w:noWrap/>
            <w:vAlign w:val="center"/>
            <w:hideMark/>
          </w:tcPr>
          <w:p w14:paraId="070267CF"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241 760</w:t>
            </w:r>
          </w:p>
        </w:tc>
        <w:tc>
          <w:tcPr>
            <w:tcW w:w="732" w:type="pct"/>
            <w:noWrap/>
            <w:vAlign w:val="center"/>
            <w:hideMark/>
          </w:tcPr>
          <w:p w14:paraId="02552314"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245 740</w:t>
            </w:r>
          </w:p>
        </w:tc>
        <w:tc>
          <w:tcPr>
            <w:tcW w:w="659" w:type="pct"/>
            <w:noWrap/>
            <w:vAlign w:val="center"/>
            <w:hideMark/>
          </w:tcPr>
          <w:p w14:paraId="172F768F"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281 730</w:t>
            </w:r>
          </w:p>
        </w:tc>
        <w:tc>
          <w:tcPr>
            <w:tcW w:w="658" w:type="pct"/>
            <w:noWrap/>
            <w:vAlign w:val="center"/>
            <w:hideMark/>
          </w:tcPr>
          <w:p w14:paraId="12E3F996"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276 397</w:t>
            </w:r>
          </w:p>
        </w:tc>
        <w:tc>
          <w:tcPr>
            <w:tcW w:w="658" w:type="pct"/>
            <w:noWrap/>
            <w:vAlign w:val="center"/>
            <w:hideMark/>
          </w:tcPr>
          <w:p w14:paraId="4EEAAB5C"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280 731</w:t>
            </w:r>
          </w:p>
        </w:tc>
        <w:tc>
          <w:tcPr>
            <w:tcW w:w="584" w:type="pct"/>
            <w:noWrap/>
            <w:vAlign w:val="center"/>
            <w:hideMark/>
          </w:tcPr>
          <w:p w14:paraId="1BBCC749"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285 345</w:t>
            </w:r>
          </w:p>
        </w:tc>
      </w:tr>
      <w:tr w:rsidR="00AA61FD" w:rsidRPr="00A611A3" w14:paraId="328A29FB" w14:textId="77777777" w:rsidTr="00945B0D">
        <w:trPr>
          <w:trHeight w:val="489"/>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13DF4128"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50-99 ansatte</w:t>
            </w:r>
          </w:p>
        </w:tc>
        <w:tc>
          <w:tcPr>
            <w:tcW w:w="603" w:type="pct"/>
            <w:noWrap/>
            <w:vAlign w:val="center"/>
            <w:hideMark/>
          </w:tcPr>
          <w:p w14:paraId="76D35C7E"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146 983</w:t>
            </w:r>
          </w:p>
        </w:tc>
        <w:tc>
          <w:tcPr>
            <w:tcW w:w="732" w:type="pct"/>
            <w:noWrap/>
            <w:vAlign w:val="center"/>
            <w:hideMark/>
          </w:tcPr>
          <w:p w14:paraId="25903A1F"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152 731</w:t>
            </w:r>
          </w:p>
        </w:tc>
        <w:tc>
          <w:tcPr>
            <w:tcW w:w="659" w:type="pct"/>
            <w:noWrap/>
            <w:vAlign w:val="center"/>
            <w:hideMark/>
          </w:tcPr>
          <w:p w14:paraId="291283EA"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166 414</w:t>
            </w:r>
          </w:p>
        </w:tc>
        <w:tc>
          <w:tcPr>
            <w:tcW w:w="658" w:type="pct"/>
            <w:noWrap/>
            <w:vAlign w:val="center"/>
            <w:hideMark/>
          </w:tcPr>
          <w:p w14:paraId="465B7AE1"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160 610</w:t>
            </w:r>
          </w:p>
        </w:tc>
        <w:tc>
          <w:tcPr>
            <w:tcW w:w="658" w:type="pct"/>
            <w:noWrap/>
            <w:vAlign w:val="center"/>
            <w:hideMark/>
          </w:tcPr>
          <w:p w14:paraId="3E85DF88"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167 789</w:t>
            </w:r>
          </w:p>
        </w:tc>
        <w:tc>
          <w:tcPr>
            <w:tcW w:w="584" w:type="pct"/>
            <w:noWrap/>
            <w:vAlign w:val="center"/>
            <w:hideMark/>
          </w:tcPr>
          <w:p w14:paraId="30DD3D6C"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175 796</w:t>
            </w:r>
          </w:p>
        </w:tc>
      </w:tr>
      <w:tr w:rsidR="00AA61FD" w:rsidRPr="00A611A3" w14:paraId="08049B1E" w14:textId="77777777" w:rsidTr="00945B0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7979628A"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100 ansatte og over</w:t>
            </w:r>
          </w:p>
        </w:tc>
        <w:tc>
          <w:tcPr>
            <w:tcW w:w="603" w:type="pct"/>
            <w:noWrap/>
            <w:vAlign w:val="center"/>
            <w:hideMark/>
          </w:tcPr>
          <w:p w14:paraId="40C6389A"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752 627</w:t>
            </w:r>
          </w:p>
        </w:tc>
        <w:tc>
          <w:tcPr>
            <w:tcW w:w="732" w:type="pct"/>
            <w:noWrap/>
            <w:vAlign w:val="center"/>
            <w:hideMark/>
          </w:tcPr>
          <w:p w14:paraId="0F763827"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762 530</w:t>
            </w:r>
          </w:p>
        </w:tc>
        <w:tc>
          <w:tcPr>
            <w:tcW w:w="659" w:type="pct"/>
            <w:noWrap/>
            <w:vAlign w:val="center"/>
            <w:hideMark/>
          </w:tcPr>
          <w:p w14:paraId="4554D93B"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794 870</w:t>
            </w:r>
          </w:p>
        </w:tc>
        <w:tc>
          <w:tcPr>
            <w:tcW w:w="658" w:type="pct"/>
            <w:noWrap/>
            <w:vAlign w:val="center"/>
            <w:hideMark/>
          </w:tcPr>
          <w:p w14:paraId="631E7496"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778 751</w:t>
            </w:r>
          </w:p>
        </w:tc>
        <w:tc>
          <w:tcPr>
            <w:tcW w:w="658" w:type="pct"/>
            <w:noWrap/>
            <w:vAlign w:val="center"/>
            <w:hideMark/>
          </w:tcPr>
          <w:p w14:paraId="226B9BA0"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793 427</w:t>
            </w:r>
          </w:p>
        </w:tc>
        <w:tc>
          <w:tcPr>
            <w:tcW w:w="584" w:type="pct"/>
            <w:noWrap/>
            <w:vAlign w:val="center"/>
            <w:hideMark/>
          </w:tcPr>
          <w:p w14:paraId="153E09A4" w14:textId="77777777" w:rsidR="00AA61FD" w:rsidRPr="00A611A3"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814 256</w:t>
            </w:r>
          </w:p>
        </w:tc>
      </w:tr>
      <w:tr w:rsidR="00AA61FD" w:rsidRPr="00A611A3" w14:paraId="52E11697" w14:textId="77777777" w:rsidTr="00945B0D">
        <w:trPr>
          <w:trHeight w:val="489"/>
        </w:trPr>
        <w:tc>
          <w:tcPr>
            <w:cnfStyle w:val="001000000000" w:firstRow="0" w:lastRow="0" w:firstColumn="1" w:lastColumn="0" w:oddVBand="0" w:evenVBand="0" w:oddHBand="0" w:evenHBand="0" w:firstRowFirstColumn="0" w:firstRowLastColumn="0" w:lastRowFirstColumn="0" w:lastRowLastColumn="0"/>
            <w:tcW w:w="1105" w:type="pct"/>
            <w:noWrap/>
            <w:vAlign w:val="center"/>
            <w:hideMark/>
          </w:tcPr>
          <w:p w14:paraId="33BF8CC4" w14:textId="77777777" w:rsidR="00AA61FD" w:rsidRPr="00A611A3" w:rsidRDefault="00AA61FD" w:rsidP="00945B0D">
            <w:pPr>
              <w:spacing w:line="240" w:lineRule="auto"/>
              <w:jc w:val="center"/>
              <w:rPr>
                <w:rFonts w:eastAsia="Times New Roman" w:cs="Calibri"/>
                <w:sz w:val="18"/>
                <w:szCs w:val="18"/>
                <w:lang w:eastAsia="nb-NO"/>
              </w:rPr>
            </w:pPr>
            <w:r w:rsidRPr="00A611A3">
              <w:rPr>
                <w:rFonts w:eastAsia="Times New Roman" w:cs="Calibri"/>
                <w:sz w:val="18"/>
                <w:szCs w:val="18"/>
                <w:lang w:eastAsia="nb-NO"/>
              </w:rPr>
              <w:t>Foretak i alt</w:t>
            </w:r>
          </w:p>
        </w:tc>
        <w:tc>
          <w:tcPr>
            <w:tcW w:w="603" w:type="pct"/>
            <w:noWrap/>
            <w:vAlign w:val="center"/>
            <w:hideMark/>
          </w:tcPr>
          <w:p w14:paraId="5687FDE3"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1 672 068</w:t>
            </w:r>
          </w:p>
        </w:tc>
        <w:tc>
          <w:tcPr>
            <w:tcW w:w="732" w:type="pct"/>
            <w:noWrap/>
            <w:vAlign w:val="center"/>
            <w:hideMark/>
          </w:tcPr>
          <w:p w14:paraId="3A23E0A1"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1 705 286</w:t>
            </w:r>
          </w:p>
        </w:tc>
        <w:tc>
          <w:tcPr>
            <w:tcW w:w="659" w:type="pct"/>
            <w:noWrap/>
            <w:vAlign w:val="center"/>
            <w:hideMark/>
          </w:tcPr>
          <w:p w14:paraId="0D6D614D"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1 794 719</w:t>
            </w:r>
          </w:p>
        </w:tc>
        <w:tc>
          <w:tcPr>
            <w:tcW w:w="658" w:type="pct"/>
            <w:noWrap/>
            <w:vAlign w:val="center"/>
            <w:hideMark/>
          </w:tcPr>
          <w:p w14:paraId="383A6E29"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1 771 990</w:t>
            </w:r>
          </w:p>
        </w:tc>
        <w:tc>
          <w:tcPr>
            <w:tcW w:w="658" w:type="pct"/>
            <w:noWrap/>
            <w:vAlign w:val="center"/>
            <w:hideMark/>
          </w:tcPr>
          <w:p w14:paraId="34A0F4A9"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1 804 175</w:t>
            </w:r>
          </w:p>
        </w:tc>
        <w:tc>
          <w:tcPr>
            <w:tcW w:w="584" w:type="pct"/>
            <w:noWrap/>
            <w:vAlign w:val="center"/>
            <w:hideMark/>
          </w:tcPr>
          <w:p w14:paraId="1DD6C21A" w14:textId="77777777" w:rsidR="00AA61FD" w:rsidRPr="00A611A3"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nb-NO"/>
              </w:rPr>
            </w:pPr>
            <w:r w:rsidRPr="00A611A3">
              <w:rPr>
                <w:rFonts w:eastAsia="Times New Roman" w:cs="Calibri"/>
                <w:color w:val="000000"/>
                <w:sz w:val="18"/>
                <w:szCs w:val="18"/>
                <w:lang w:eastAsia="nb-NO"/>
              </w:rPr>
              <w:t>1 841 220</w:t>
            </w:r>
          </w:p>
        </w:tc>
      </w:tr>
    </w:tbl>
    <w:p w14:paraId="202C9312" w14:textId="77777777" w:rsidR="00AA61FD" w:rsidRDefault="00AA61FD" w:rsidP="00AA61FD">
      <w:pPr>
        <w:rPr>
          <w:sz w:val="16"/>
          <w:szCs w:val="16"/>
        </w:rPr>
      </w:pPr>
      <w:r w:rsidRPr="00660761">
        <w:rPr>
          <w:sz w:val="16"/>
          <w:szCs w:val="16"/>
        </w:rPr>
        <w:t>Kilde: SSB</w:t>
      </w:r>
      <w:r>
        <w:rPr>
          <w:sz w:val="16"/>
          <w:szCs w:val="16"/>
        </w:rPr>
        <w:br/>
      </w:r>
    </w:p>
    <w:p w14:paraId="1992465B" w14:textId="77777777" w:rsidR="004B0C9A" w:rsidRDefault="004B0C9A">
      <w:pPr>
        <w:spacing w:after="160" w:line="259" w:lineRule="auto"/>
        <w:rPr>
          <w:b/>
          <w:iCs/>
          <w:sz w:val="20"/>
        </w:rPr>
      </w:pPr>
      <w:r>
        <w:rPr>
          <w:sz w:val="20"/>
        </w:rPr>
        <w:br w:type="page"/>
      </w:r>
    </w:p>
    <w:p w14:paraId="6B9B697C" w14:textId="77777777" w:rsidR="00E93605" w:rsidRDefault="00E93605" w:rsidP="00AA61FD">
      <w:pPr>
        <w:pStyle w:val="Bildetekst"/>
        <w:keepNext/>
        <w:rPr>
          <w:sz w:val="20"/>
          <w:szCs w:val="22"/>
        </w:rPr>
      </w:pPr>
    </w:p>
    <w:p w14:paraId="312D5524" w14:textId="77777777" w:rsidR="00E93605" w:rsidRDefault="00E93605" w:rsidP="00AA61FD">
      <w:pPr>
        <w:pStyle w:val="Bildetekst"/>
        <w:keepNext/>
        <w:rPr>
          <w:sz w:val="20"/>
          <w:szCs w:val="22"/>
        </w:rPr>
      </w:pPr>
    </w:p>
    <w:p w14:paraId="157A5426" w14:textId="442A989B" w:rsidR="00AA61FD" w:rsidRPr="009A0374" w:rsidRDefault="00AA61FD" w:rsidP="00AA61FD">
      <w:pPr>
        <w:pStyle w:val="Bildetekst"/>
        <w:keepNext/>
        <w:rPr>
          <w:sz w:val="20"/>
          <w:szCs w:val="22"/>
        </w:rPr>
      </w:pPr>
      <w:r w:rsidRPr="009A0374">
        <w:rPr>
          <w:sz w:val="20"/>
          <w:szCs w:val="22"/>
        </w:rPr>
        <w:t xml:space="preserve">Fordeling av registrerte i norske foretak, 2014-2019. Inndelt etter størrelsesgruppe. </w:t>
      </w:r>
      <w:r>
        <w:rPr>
          <w:sz w:val="20"/>
          <w:szCs w:val="22"/>
        </w:rPr>
        <w:br/>
      </w:r>
      <w:r w:rsidRPr="009A0374">
        <w:rPr>
          <w:sz w:val="20"/>
          <w:szCs w:val="22"/>
        </w:rPr>
        <w:t>Foretak unntatt offentlig forvaltning og primærnæringene.</w:t>
      </w:r>
    </w:p>
    <w:tbl>
      <w:tblPr>
        <w:tblStyle w:val="Rutenettabell5mrkuthevingsfarge1"/>
        <w:tblW w:w="0" w:type="auto"/>
        <w:tblLook w:val="04A0" w:firstRow="1" w:lastRow="0" w:firstColumn="1" w:lastColumn="0" w:noHBand="0" w:noVBand="1"/>
      </w:tblPr>
      <w:tblGrid>
        <w:gridCol w:w="2622"/>
        <w:gridCol w:w="1065"/>
        <w:gridCol w:w="1065"/>
        <w:gridCol w:w="1065"/>
        <w:gridCol w:w="1065"/>
        <w:gridCol w:w="1065"/>
        <w:gridCol w:w="1065"/>
      </w:tblGrid>
      <w:tr w:rsidR="00AA61FD" w:rsidRPr="002C4E07" w14:paraId="13BC2402" w14:textId="77777777" w:rsidTr="00945B0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622" w:type="dxa"/>
            <w:noWrap/>
            <w:hideMark/>
          </w:tcPr>
          <w:p w14:paraId="10FAEE74" w14:textId="77777777" w:rsidR="00AA61FD" w:rsidRPr="002C4E07" w:rsidRDefault="00AA61FD" w:rsidP="00945B0D">
            <w:pPr>
              <w:rPr>
                <w:sz w:val="18"/>
                <w:szCs w:val="18"/>
              </w:rPr>
            </w:pPr>
            <w:r w:rsidRPr="002C4E07">
              <w:rPr>
                <w:sz w:val="18"/>
                <w:szCs w:val="18"/>
              </w:rPr>
              <w:t> </w:t>
            </w:r>
          </w:p>
        </w:tc>
        <w:tc>
          <w:tcPr>
            <w:tcW w:w="1065" w:type="dxa"/>
            <w:noWrap/>
            <w:hideMark/>
          </w:tcPr>
          <w:p w14:paraId="059A97E9" w14:textId="77777777" w:rsidR="00AA61FD" w:rsidRPr="002C4E07" w:rsidRDefault="00AA61FD" w:rsidP="00945B0D">
            <w:pPr>
              <w:cnfStyle w:val="100000000000" w:firstRow="1" w:lastRow="0" w:firstColumn="0" w:lastColumn="0" w:oddVBand="0" w:evenVBand="0" w:oddHBand="0" w:evenHBand="0" w:firstRowFirstColumn="0" w:firstRowLastColumn="0" w:lastRowFirstColumn="0" w:lastRowLastColumn="0"/>
              <w:rPr>
                <w:sz w:val="18"/>
                <w:szCs w:val="18"/>
              </w:rPr>
            </w:pPr>
            <w:r w:rsidRPr="002C4E07">
              <w:rPr>
                <w:sz w:val="18"/>
                <w:szCs w:val="18"/>
              </w:rPr>
              <w:t>2014</w:t>
            </w:r>
          </w:p>
        </w:tc>
        <w:tc>
          <w:tcPr>
            <w:tcW w:w="1065" w:type="dxa"/>
            <w:noWrap/>
            <w:hideMark/>
          </w:tcPr>
          <w:p w14:paraId="16C268DD" w14:textId="77777777" w:rsidR="00AA61FD" w:rsidRPr="002C4E07" w:rsidRDefault="00AA61FD" w:rsidP="00945B0D">
            <w:pPr>
              <w:cnfStyle w:val="100000000000" w:firstRow="1" w:lastRow="0" w:firstColumn="0" w:lastColumn="0" w:oddVBand="0" w:evenVBand="0" w:oddHBand="0" w:evenHBand="0" w:firstRowFirstColumn="0" w:firstRowLastColumn="0" w:lastRowFirstColumn="0" w:lastRowLastColumn="0"/>
              <w:rPr>
                <w:sz w:val="18"/>
                <w:szCs w:val="18"/>
              </w:rPr>
            </w:pPr>
            <w:r w:rsidRPr="002C4E07">
              <w:rPr>
                <w:sz w:val="18"/>
                <w:szCs w:val="18"/>
              </w:rPr>
              <w:t>2015</w:t>
            </w:r>
          </w:p>
        </w:tc>
        <w:tc>
          <w:tcPr>
            <w:tcW w:w="1065" w:type="dxa"/>
            <w:noWrap/>
            <w:hideMark/>
          </w:tcPr>
          <w:p w14:paraId="3B3DA7FF" w14:textId="77777777" w:rsidR="00AA61FD" w:rsidRPr="002C4E07" w:rsidRDefault="00AA61FD" w:rsidP="00945B0D">
            <w:pPr>
              <w:cnfStyle w:val="100000000000" w:firstRow="1" w:lastRow="0" w:firstColumn="0" w:lastColumn="0" w:oddVBand="0" w:evenVBand="0" w:oddHBand="0" w:evenHBand="0" w:firstRowFirstColumn="0" w:firstRowLastColumn="0" w:lastRowFirstColumn="0" w:lastRowLastColumn="0"/>
              <w:rPr>
                <w:sz w:val="18"/>
                <w:szCs w:val="18"/>
              </w:rPr>
            </w:pPr>
            <w:r w:rsidRPr="002C4E07">
              <w:rPr>
                <w:sz w:val="18"/>
                <w:szCs w:val="18"/>
              </w:rPr>
              <w:t>2016</w:t>
            </w:r>
          </w:p>
        </w:tc>
        <w:tc>
          <w:tcPr>
            <w:tcW w:w="1065" w:type="dxa"/>
            <w:noWrap/>
            <w:hideMark/>
          </w:tcPr>
          <w:p w14:paraId="4762C6F1" w14:textId="77777777" w:rsidR="00AA61FD" w:rsidRPr="002C4E07" w:rsidRDefault="00AA61FD" w:rsidP="00945B0D">
            <w:pPr>
              <w:cnfStyle w:val="100000000000" w:firstRow="1" w:lastRow="0" w:firstColumn="0" w:lastColumn="0" w:oddVBand="0" w:evenVBand="0" w:oddHBand="0" w:evenHBand="0" w:firstRowFirstColumn="0" w:firstRowLastColumn="0" w:lastRowFirstColumn="0" w:lastRowLastColumn="0"/>
              <w:rPr>
                <w:sz w:val="18"/>
                <w:szCs w:val="18"/>
              </w:rPr>
            </w:pPr>
            <w:r w:rsidRPr="002C4E07">
              <w:rPr>
                <w:sz w:val="18"/>
                <w:szCs w:val="18"/>
              </w:rPr>
              <w:t>2017</w:t>
            </w:r>
          </w:p>
        </w:tc>
        <w:tc>
          <w:tcPr>
            <w:tcW w:w="1065" w:type="dxa"/>
            <w:noWrap/>
            <w:hideMark/>
          </w:tcPr>
          <w:p w14:paraId="3376D535" w14:textId="77777777" w:rsidR="00AA61FD" w:rsidRPr="002C4E07" w:rsidRDefault="00AA61FD" w:rsidP="00945B0D">
            <w:pPr>
              <w:cnfStyle w:val="100000000000" w:firstRow="1" w:lastRow="0" w:firstColumn="0" w:lastColumn="0" w:oddVBand="0" w:evenVBand="0" w:oddHBand="0" w:evenHBand="0" w:firstRowFirstColumn="0" w:firstRowLastColumn="0" w:lastRowFirstColumn="0" w:lastRowLastColumn="0"/>
              <w:rPr>
                <w:sz w:val="18"/>
                <w:szCs w:val="18"/>
              </w:rPr>
            </w:pPr>
            <w:r w:rsidRPr="002C4E07">
              <w:rPr>
                <w:sz w:val="18"/>
                <w:szCs w:val="18"/>
              </w:rPr>
              <w:t>2018</w:t>
            </w:r>
          </w:p>
        </w:tc>
        <w:tc>
          <w:tcPr>
            <w:tcW w:w="1065" w:type="dxa"/>
            <w:noWrap/>
            <w:hideMark/>
          </w:tcPr>
          <w:p w14:paraId="70DE1AEF" w14:textId="77777777" w:rsidR="00AA61FD" w:rsidRPr="002C4E07" w:rsidRDefault="00AA61FD" w:rsidP="00945B0D">
            <w:pPr>
              <w:cnfStyle w:val="100000000000" w:firstRow="1" w:lastRow="0" w:firstColumn="0" w:lastColumn="0" w:oddVBand="0" w:evenVBand="0" w:oddHBand="0" w:evenHBand="0" w:firstRowFirstColumn="0" w:firstRowLastColumn="0" w:lastRowFirstColumn="0" w:lastRowLastColumn="0"/>
              <w:rPr>
                <w:sz w:val="18"/>
                <w:szCs w:val="18"/>
              </w:rPr>
            </w:pPr>
            <w:r w:rsidRPr="002C4E07">
              <w:rPr>
                <w:sz w:val="18"/>
                <w:szCs w:val="18"/>
              </w:rPr>
              <w:t>2019</w:t>
            </w:r>
          </w:p>
        </w:tc>
      </w:tr>
      <w:tr w:rsidR="00AA61FD" w:rsidRPr="002C4E07" w14:paraId="41DA80DB" w14:textId="77777777" w:rsidTr="00945B0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622" w:type="dxa"/>
            <w:noWrap/>
            <w:hideMark/>
          </w:tcPr>
          <w:p w14:paraId="33BE2AD5" w14:textId="77777777" w:rsidR="00AA61FD" w:rsidRPr="002C4E07" w:rsidRDefault="00AA61FD" w:rsidP="00945B0D">
            <w:pPr>
              <w:rPr>
                <w:sz w:val="18"/>
                <w:szCs w:val="18"/>
              </w:rPr>
            </w:pPr>
            <w:r w:rsidRPr="002C4E07">
              <w:rPr>
                <w:sz w:val="18"/>
                <w:szCs w:val="18"/>
              </w:rPr>
              <w:t>1-4 ansatte</w:t>
            </w:r>
          </w:p>
        </w:tc>
        <w:tc>
          <w:tcPr>
            <w:tcW w:w="1065" w:type="dxa"/>
            <w:noWrap/>
            <w:hideMark/>
          </w:tcPr>
          <w:p w14:paraId="217DF982"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10,0 %</w:t>
            </w:r>
          </w:p>
        </w:tc>
        <w:tc>
          <w:tcPr>
            <w:tcW w:w="1065" w:type="dxa"/>
            <w:noWrap/>
            <w:hideMark/>
          </w:tcPr>
          <w:p w14:paraId="78D9B8AE"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10,1 %</w:t>
            </w:r>
          </w:p>
        </w:tc>
        <w:tc>
          <w:tcPr>
            <w:tcW w:w="1065" w:type="dxa"/>
            <w:noWrap/>
            <w:hideMark/>
          </w:tcPr>
          <w:p w14:paraId="538EDDDA"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8,5 %</w:t>
            </w:r>
          </w:p>
        </w:tc>
        <w:tc>
          <w:tcPr>
            <w:tcW w:w="1065" w:type="dxa"/>
            <w:noWrap/>
            <w:hideMark/>
          </w:tcPr>
          <w:p w14:paraId="2AE1CABD"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8,9 %</w:t>
            </w:r>
          </w:p>
        </w:tc>
        <w:tc>
          <w:tcPr>
            <w:tcW w:w="1065" w:type="dxa"/>
            <w:noWrap/>
            <w:hideMark/>
          </w:tcPr>
          <w:p w14:paraId="332B86A2"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8,9 %</w:t>
            </w:r>
          </w:p>
        </w:tc>
        <w:tc>
          <w:tcPr>
            <w:tcW w:w="1065" w:type="dxa"/>
            <w:noWrap/>
            <w:hideMark/>
          </w:tcPr>
          <w:p w14:paraId="27D8C3C1"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8,8 %</w:t>
            </w:r>
          </w:p>
        </w:tc>
      </w:tr>
      <w:tr w:rsidR="00AA61FD" w:rsidRPr="002C4E07" w14:paraId="4A814194" w14:textId="77777777" w:rsidTr="00945B0D">
        <w:trPr>
          <w:trHeight w:val="448"/>
        </w:trPr>
        <w:tc>
          <w:tcPr>
            <w:cnfStyle w:val="001000000000" w:firstRow="0" w:lastRow="0" w:firstColumn="1" w:lastColumn="0" w:oddVBand="0" w:evenVBand="0" w:oddHBand="0" w:evenHBand="0" w:firstRowFirstColumn="0" w:firstRowLastColumn="0" w:lastRowFirstColumn="0" w:lastRowLastColumn="0"/>
            <w:tcW w:w="2622" w:type="dxa"/>
            <w:noWrap/>
            <w:hideMark/>
          </w:tcPr>
          <w:p w14:paraId="768E1ECF" w14:textId="77777777" w:rsidR="00AA61FD" w:rsidRPr="002C4E07" w:rsidRDefault="00AA61FD" w:rsidP="00945B0D">
            <w:pPr>
              <w:rPr>
                <w:sz w:val="18"/>
                <w:szCs w:val="18"/>
              </w:rPr>
            </w:pPr>
            <w:r w:rsidRPr="002C4E07">
              <w:rPr>
                <w:sz w:val="18"/>
                <w:szCs w:val="18"/>
              </w:rPr>
              <w:t>5-9 ansatte</w:t>
            </w:r>
          </w:p>
        </w:tc>
        <w:tc>
          <w:tcPr>
            <w:tcW w:w="1065" w:type="dxa"/>
            <w:noWrap/>
            <w:hideMark/>
          </w:tcPr>
          <w:p w14:paraId="4540CF74"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9,8 %</w:t>
            </w:r>
          </w:p>
        </w:tc>
        <w:tc>
          <w:tcPr>
            <w:tcW w:w="1065" w:type="dxa"/>
            <w:noWrap/>
            <w:hideMark/>
          </w:tcPr>
          <w:p w14:paraId="6263707A"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9,9 %</w:t>
            </w:r>
          </w:p>
        </w:tc>
        <w:tc>
          <w:tcPr>
            <w:tcW w:w="1065" w:type="dxa"/>
            <w:noWrap/>
            <w:hideMark/>
          </w:tcPr>
          <w:p w14:paraId="1BDEE245"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9,8 %</w:t>
            </w:r>
          </w:p>
        </w:tc>
        <w:tc>
          <w:tcPr>
            <w:tcW w:w="1065" w:type="dxa"/>
            <w:noWrap/>
            <w:hideMark/>
          </w:tcPr>
          <w:p w14:paraId="509B44C3"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10,0 %</w:t>
            </w:r>
          </w:p>
        </w:tc>
        <w:tc>
          <w:tcPr>
            <w:tcW w:w="1065" w:type="dxa"/>
            <w:noWrap/>
            <w:hideMark/>
          </w:tcPr>
          <w:p w14:paraId="6FA9C28E"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9,9 %</w:t>
            </w:r>
          </w:p>
        </w:tc>
        <w:tc>
          <w:tcPr>
            <w:tcW w:w="1065" w:type="dxa"/>
            <w:noWrap/>
            <w:hideMark/>
          </w:tcPr>
          <w:p w14:paraId="5E99B9FF"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9,7 %</w:t>
            </w:r>
          </w:p>
        </w:tc>
      </w:tr>
      <w:tr w:rsidR="00AA61FD" w:rsidRPr="002C4E07" w14:paraId="330E8C72" w14:textId="77777777" w:rsidTr="00945B0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622" w:type="dxa"/>
            <w:noWrap/>
            <w:hideMark/>
          </w:tcPr>
          <w:p w14:paraId="5BBDB1B7" w14:textId="77777777" w:rsidR="00AA61FD" w:rsidRPr="002C4E07" w:rsidRDefault="00AA61FD" w:rsidP="00945B0D">
            <w:pPr>
              <w:rPr>
                <w:sz w:val="18"/>
                <w:szCs w:val="18"/>
              </w:rPr>
            </w:pPr>
            <w:r w:rsidRPr="002C4E07">
              <w:rPr>
                <w:sz w:val="18"/>
                <w:szCs w:val="18"/>
              </w:rPr>
              <w:t>10-19 ansatte</w:t>
            </w:r>
          </w:p>
        </w:tc>
        <w:tc>
          <w:tcPr>
            <w:tcW w:w="1065" w:type="dxa"/>
            <w:noWrap/>
            <w:hideMark/>
          </w:tcPr>
          <w:p w14:paraId="1757A95A"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11,9 %</w:t>
            </w:r>
          </w:p>
        </w:tc>
        <w:tc>
          <w:tcPr>
            <w:tcW w:w="1065" w:type="dxa"/>
            <w:noWrap/>
            <w:hideMark/>
          </w:tcPr>
          <w:p w14:paraId="19089C71"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12,0 %</w:t>
            </w:r>
          </w:p>
        </w:tc>
        <w:tc>
          <w:tcPr>
            <w:tcW w:w="1065" w:type="dxa"/>
            <w:noWrap/>
            <w:hideMark/>
          </w:tcPr>
          <w:p w14:paraId="7A665E1C"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12,4 %</w:t>
            </w:r>
          </w:p>
        </w:tc>
        <w:tc>
          <w:tcPr>
            <w:tcW w:w="1065" w:type="dxa"/>
            <w:noWrap/>
            <w:hideMark/>
          </w:tcPr>
          <w:p w14:paraId="443547D1"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12,5 %</w:t>
            </w:r>
          </w:p>
        </w:tc>
        <w:tc>
          <w:tcPr>
            <w:tcW w:w="1065" w:type="dxa"/>
            <w:noWrap/>
            <w:hideMark/>
          </w:tcPr>
          <w:p w14:paraId="4B10E947"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12,4 %</w:t>
            </w:r>
          </w:p>
        </w:tc>
        <w:tc>
          <w:tcPr>
            <w:tcW w:w="1065" w:type="dxa"/>
            <w:noWrap/>
            <w:hideMark/>
          </w:tcPr>
          <w:p w14:paraId="62D22627"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12,2 %</w:t>
            </w:r>
          </w:p>
        </w:tc>
      </w:tr>
      <w:tr w:rsidR="00AA61FD" w:rsidRPr="002C4E07" w14:paraId="5119F81F" w14:textId="77777777" w:rsidTr="00945B0D">
        <w:trPr>
          <w:trHeight w:val="448"/>
        </w:trPr>
        <w:tc>
          <w:tcPr>
            <w:cnfStyle w:val="001000000000" w:firstRow="0" w:lastRow="0" w:firstColumn="1" w:lastColumn="0" w:oddVBand="0" w:evenVBand="0" w:oddHBand="0" w:evenHBand="0" w:firstRowFirstColumn="0" w:firstRowLastColumn="0" w:lastRowFirstColumn="0" w:lastRowLastColumn="0"/>
            <w:tcW w:w="2622" w:type="dxa"/>
            <w:noWrap/>
            <w:hideMark/>
          </w:tcPr>
          <w:p w14:paraId="502EC8EE" w14:textId="77777777" w:rsidR="00AA61FD" w:rsidRPr="002C4E07" w:rsidRDefault="00AA61FD" w:rsidP="00945B0D">
            <w:pPr>
              <w:rPr>
                <w:sz w:val="18"/>
                <w:szCs w:val="18"/>
              </w:rPr>
            </w:pPr>
            <w:r w:rsidRPr="002C4E07">
              <w:rPr>
                <w:sz w:val="18"/>
                <w:szCs w:val="18"/>
              </w:rPr>
              <w:t>20-49 ansatte</w:t>
            </w:r>
          </w:p>
        </w:tc>
        <w:tc>
          <w:tcPr>
            <w:tcW w:w="1065" w:type="dxa"/>
            <w:noWrap/>
            <w:hideMark/>
          </w:tcPr>
          <w:p w14:paraId="2DDF324C"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14,5 %</w:t>
            </w:r>
          </w:p>
        </w:tc>
        <w:tc>
          <w:tcPr>
            <w:tcW w:w="1065" w:type="dxa"/>
            <w:noWrap/>
            <w:hideMark/>
          </w:tcPr>
          <w:p w14:paraId="66994D4C"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14,4 %</w:t>
            </w:r>
          </w:p>
        </w:tc>
        <w:tc>
          <w:tcPr>
            <w:tcW w:w="1065" w:type="dxa"/>
            <w:noWrap/>
            <w:hideMark/>
          </w:tcPr>
          <w:p w14:paraId="22374596"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15,7 %</w:t>
            </w:r>
          </w:p>
        </w:tc>
        <w:tc>
          <w:tcPr>
            <w:tcW w:w="1065" w:type="dxa"/>
            <w:noWrap/>
            <w:hideMark/>
          </w:tcPr>
          <w:p w14:paraId="3D755153"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15,6 %</w:t>
            </w:r>
          </w:p>
        </w:tc>
        <w:tc>
          <w:tcPr>
            <w:tcW w:w="1065" w:type="dxa"/>
            <w:noWrap/>
            <w:hideMark/>
          </w:tcPr>
          <w:p w14:paraId="58BDC214"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15,6 %</w:t>
            </w:r>
          </w:p>
        </w:tc>
        <w:tc>
          <w:tcPr>
            <w:tcW w:w="1065" w:type="dxa"/>
            <w:noWrap/>
            <w:hideMark/>
          </w:tcPr>
          <w:p w14:paraId="02CB6CCF"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15,5 %</w:t>
            </w:r>
          </w:p>
        </w:tc>
      </w:tr>
      <w:tr w:rsidR="00AA61FD" w:rsidRPr="002C4E07" w14:paraId="6AF5B486" w14:textId="77777777" w:rsidTr="00945B0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622" w:type="dxa"/>
            <w:noWrap/>
            <w:hideMark/>
          </w:tcPr>
          <w:p w14:paraId="6C509C92" w14:textId="77777777" w:rsidR="00AA61FD" w:rsidRPr="002C4E07" w:rsidRDefault="00AA61FD" w:rsidP="00945B0D">
            <w:pPr>
              <w:rPr>
                <w:sz w:val="18"/>
                <w:szCs w:val="18"/>
              </w:rPr>
            </w:pPr>
            <w:r w:rsidRPr="002C4E07">
              <w:rPr>
                <w:sz w:val="18"/>
                <w:szCs w:val="18"/>
              </w:rPr>
              <w:t>50-99 ansatte</w:t>
            </w:r>
          </w:p>
        </w:tc>
        <w:tc>
          <w:tcPr>
            <w:tcW w:w="1065" w:type="dxa"/>
            <w:noWrap/>
            <w:hideMark/>
          </w:tcPr>
          <w:p w14:paraId="6B937FAD"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8,8 %</w:t>
            </w:r>
          </w:p>
        </w:tc>
        <w:tc>
          <w:tcPr>
            <w:tcW w:w="1065" w:type="dxa"/>
            <w:noWrap/>
            <w:hideMark/>
          </w:tcPr>
          <w:p w14:paraId="14960CC2"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9,0 %</w:t>
            </w:r>
          </w:p>
        </w:tc>
        <w:tc>
          <w:tcPr>
            <w:tcW w:w="1065" w:type="dxa"/>
            <w:noWrap/>
            <w:hideMark/>
          </w:tcPr>
          <w:p w14:paraId="5B741A29"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9,3 %</w:t>
            </w:r>
          </w:p>
        </w:tc>
        <w:tc>
          <w:tcPr>
            <w:tcW w:w="1065" w:type="dxa"/>
            <w:noWrap/>
            <w:hideMark/>
          </w:tcPr>
          <w:p w14:paraId="101C6CC4"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9,1 %</w:t>
            </w:r>
          </w:p>
        </w:tc>
        <w:tc>
          <w:tcPr>
            <w:tcW w:w="1065" w:type="dxa"/>
            <w:noWrap/>
            <w:hideMark/>
          </w:tcPr>
          <w:p w14:paraId="2D8554D3"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9,3 %</w:t>
            </w:r>
          </w:p>
        </w:tc>
        <w:tc>
          <w:tcPr>
            <w:tcW w:w="1065" w:type="dxa"/>
            <w:noWrap/>
            <w:hideMark/>
          </w:tcPr>
          <w:p w14:paraId="6F13F047" w14:textId="77777777" w:rsidR="00AA61FD" w:rsidRPr="002C4E07" w:rsidRDefault="00AA61FD" w:rsidP="00945B0D">
            <w:pPr>
              <w:cnfStyle w:val="000000100000" w:firstRow="0" w:lastRow="0" w:firstColumn="0" w:lastColumn="0" w:oddVBand="0" w:evenVBand="0" w:oddHBand="1" w:evenHBand="0" w:firstRowFirstColumn="0" w:firstRowLastColumn="0" w:lastRowFirstColumn="0" w:lastRowLastColumn="0"/>
              <w:rPr>
                <w:sz w:val="18"/>
                <w:szCs w:val="18"/>
              </w:rPr>
            </w:pPr>
            <w:r w:rsidRPr="002C4E07">
              <w:rPr>
                <w:sz w:val="18"/>
                <w:szCs w:val="18"/>
              </w:rPr>
              <w:t>9,5 %</w:t>
            </w:r>
          </w:p>
        </w:tc>
      </w:tr>
      <w:tr w:rsidR="00AA61FD" w:rsidRPr="002C4E07" w14:paraId="484CECB1" w14:textId="77777777" w:rsidTr="00945B0D">
        <w:trPr>
          <w:trHeight w:val="448"/>
        </w:trPr>
        <w:tc>
          <w:tcPr>
            <w:cnfStyle w:val="001000000000" w:firstRow="0" w:lastRow="0" w:firstColumn="1" w:lastColumn="0" w:oddVBand="0" w:evenVBand="0" w:oddHBand="0" w:evenHBand="0" w:firstRowFirstColumn="0" w:firstRowLastColumn="0" w:lastRowFirstColumn="0" w:lastRowLastColumn="0"/>
            <w:tcW w:w="2622" w:type="dxa"/>
            <w:noWrap/>
            <w:hideMark/>
          </w:tcPr>
          <w:p w14:paraId="6F1B65B3" w14:textId="77777777" w:rsidR="00AA61FD" w:rsidRPr="002C4E07" w:rsidRDefault="00AA61FD" w:rsidP="00945B0D">
            <w:pPr>
              <w:rPr>
                <w:sz w:val="18"/>
                <w:szCs w:val="18"/>
              </w:rPr>
            </w:pPr>
            <w:r w:rsidRPr="002C4E07">
              <w:rPr>
                <w:sz w:val="18"/>
                <w:szCs w:val="18"/>
              </w:rPr>
              <w:t>100 ansatte og over</w:t>
            </w:r>
          </w:p>
        </w:tc>
        <w:tc>
          <w:tcPr>
            <w:tcW w:w="1065" w:type="dxa"/>
            <w:noWrap/>
            <w:hideMark/>
          </w:tcPr>
          <w:p w14:paraId="091968F6"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45,0 %</w:t>
            </w:r>
          </w:p>
        </w:tc>
        <w:tc>
          <w:tcPr>
            <w:tcW w:w="1065" w:type="dxa"/>
            <w:noWrap/>
            <w:hideMark/>
          </w:tcPr>
          <w:p w14:paraId="2EDC4C42"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44,7 %</w:t>
            </w:r>
          </w:p>
        </w:tc>
        <w:tc>
          <w:tcPr>
            <w:tcW w:w="1065" w:type="dxa"/>
            <w:noWrap/>
            <w:hideMark/>
          </w:tcPr>
          <w:p w14:paraId="54663DDE"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44,3 %</w:t>
            </w:r>
          </w:p>
        </w:tc>
        <w:tc>
          <w:tcPr>
            <w:tcW w:w="1065" w:type="dxa"/>
            <w:noWrap/>
            <w:hideMark/>
          </w:tcPr>
          <w:p w14:paraId="716048D5"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43,9 %</w:t>
            </w:r>
          </w:p>
        </w:tc>
        <w:tc>
          <w:tcPr>
            <w:tcW w:w="1065" w:type="dxa"/>
            <w:noWrap/>
            <w:hideMark/>
          </w:tcPr>
          <w:p w14:paraId="15D715C2"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44,0 %</w:t>
            </w:r>
          </w:p>
        </w:tc>
        <w:tc>
          <w:tcPr>
            <w:tcW w:w="1065" w:type="dxa"/>
            <w:noWrap/>
            <w:hideMark/>
          </w:tcPr>
          <w:p w14:paraId="776A690C" w14:textId="77777777" w:rsidR="00AA61FD" w:rsidRPr="002C4E07" w:rsidRDefault="00AA61FD" w:rsidP="00945B0D">
            <w:pPr>
              <w:cnfStyle w:val="000000000000" w:firstRow="0" w:lastRow="0" w:firstColumn="0" w:lastColumn="0" w:oddVBand="0" w:evenVBand="0" w:oddHBand="0" w:evenHBand="0" w:firstRowFirstColumn="0" w:firstRowLastColumn="0" w:lastRowFirstColumn="0" w:lastRowLastColumn="0"/>
              <w:rPr>
                <w:sz w:val="18"/>
                <w:szCs w:val="18"/>
              </w:rPr>
            </w:pPr>
            <w:r w:rsidRPr="002C4E07">
              <w:rPr>
                <w:sz w:val="18"/>
                <w:szCs w:val="18"/>
              </w:rPr>
              <w:t>44,2 %</w:t>
            </w:r>
          </w:p>
        </w:tc>
      </w:tr>
    </w:tbl>
    <w:p w14:paraId="4A211B8A" w14:textId="77777777" w:rsidR="00AA61FD" w:rsidRDefault="00AA61FD" w:rsidP="00AA61FD">
      <w:pPr>
        <w:rPr>
          <w:sz w:val="16"/>
          <w:szCs w:val="16"/>
        </w:rPr>
      </w:pPr>
      <w:r w:rsidRPr="00660761">
        <w:rPr>
          <w:sz w:val="16"/>
          <w:szCs w:val="16"/>
        </w:rPr>
        <w:t>Kilde: SSB</w:t>
      </w:r>
      <w:r>
        <w:rPr>
          <w:sz w:val="16"/>
          <w:szCs w:val="16"/>
        </w:rPr>
        <w:br/>
      </w:r>
      <w:r>
        <w:rPr>
          <w:sz w:val="16"/>
          <w:szCs w:val="16"/>
        </w:rPr>
        <w:br/>
      </w:r>
    </w:p>
    <w:p w14:paraId="732A63C8" w14:textId="77777777" w:rsidR="00AA61FD" w:rsidRPr="009A0374" w:rsidRDefault="00AA61FD" w:rsidP="00AA61FD">
      <w:pPr>
        <w:pStyle w:val="Bildetekst"/>
        <w:keepNext/>
        <w:rPr>
          <w:sz w:val="20"/>
          <w:szCs w:val="22"/>
        </w:rPr>
      </w:pPr>
      <w:r w:rsidRPr="009A0374">
        <w:rPr>
          <w:sz w:val="20"/>
          <w:szCs w:val="22"/>
        </w:rPr>
        <w:t xml:space="preserve">Omsetning i norske foretak, 2014-2018. Inndelt etter størrelsesgruppe. </w:t>
      </w:r>
      <w:r>
        <w:rPr>
          <w:sz w:val="20"/>
          <w:szCs w:val="22"/>
        </w:rPr>
        <w:br/>
      </w:r>
      <w:r w:rsidRPr="009A0374">
        <w:rPr>
          <w:sz w:val="20"/>
          <w:szCs w:val="22"/>
        </w:rPr>
        <w:t>Foretak unntatt offentlig forvaltning og primærnæringene.</w:t>
      </w:r>
    </w:p>
    <w:tbl>
      <w:tblPr>
        <w:tblStyle w:val="Rutenettabell5mrkuthevingsfarge1"/>
        <w:tblW w:w="5081" w:type="pct"/>
        <w:tblLayout w:type="fixed"/>
        <w:tblLook w:val="04A0" w:firstRow="1" w:lastRow="0" w:firstColumn="1" w:lastColumn="0" w:noHBand="0" w:noVBand="1"/>
      </w:tblPr>
      <w:tblGrid>
        <w:gridCol w:w="1270"/>
        <w:gridCol w:w="1702"/>
        <w:gridCol w:w="1606"/>
        <w:gridCol w:w="1496"/>
        <w:gridCol w:w="1496"/>
        <w:gridCol w:w="1639"/>
      </w:tblGrid>
      <w:tr w:rsidR="00AA61FD" w:rsidRPr="00D9281A" w14:paraId="269EEB97" w14:textId="77777777" w:rsidTr="00945B0D">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3C42EA04" w14:textId="77777777" w:rsidR="00AA61FD" w:rsidRPr="00D9281A" w:rsidRDefault="00AA61FD" w:rsidP="00945B0D">
            <w:pPr>
              <w:jc w:val="center"/>
              <w:rPr>
                <w:sz w:val="16"/>
                <w:szCs w:val="16"/>
              </w:rPr>
            </w:pPr>
          </w:p>
        </w:tc>
        <w:tc>
          <w:tcPr>
            <w:tcW w:w="924" w:type="pct"/>
            <w:noWrap/>
            <w:vAlign w:val="center"/>
            <w:hideMark/>
          </w:tcPr>
          <w:p w14:paraId="6E1866C1" w14:textId="77777777" w:rsidR="00AA61FD" w:rsidRPr="00D9281A" w:rsidRDefault="00AA61FD" w:rsidP="00945B0D">
            <w:pPr>
              <w:jc w:val="center"/>
              <w:cnfStyle w:val="100000000000" w:firstRow="1" w:lastRow="0" w:firstColumn="0" w:lastColumn="0" w:oddVBand="0" w:evenVBand="0" w:oddHBand="0" w:evenHBand="0" w:firstRowFirstColumn="0" w:firstRowLastColumn="0" w:lastRowFirstColumn="0" w:lastRowLastColumn="0"/>
              <w:rPr>
                <w:sz w:val="16"/>
                <w:szCs w:val="16"/>
              </w:rPr>
            </w:pPr>
            <w:r w:rsidRPr="00D9281A">
              <w:rPr>
                <w:sz w:val="16"/>
                <w:szCs w:val="16"/>
              </w:rPr>
              <w:t>2014</w:t>
            </w:r>
          </w:p>
        </w:tc>
        <w:tc>
          <w:tcPr>
            <w:tcW w:w="872" w:type="pct"/>
            <w:noWrap/>
            <w:vAlign w:val="center"/>
            <w:hideMark/>
          </w:tcPr>
          <w:p w14:paraId="392AE902" w14:textId="77777777" w:rsidR="00AA61FD" w:rsidRPr="00D9281A" w:rsidRDefault="00AA61FD" w:rsidP="00945B0D">
            <w:pPr>
              <w:jc w:val="center"/>
              <w:cnfStyle w:val="100000000000" w:firstRow="1" w:lastRow="0" w:firstColumn="0" w:lastColumn="0" w:oddVBand="0" w:evenVBand="0" w:oddHBand="0" w:evenHBand="0" w:firstRowFirstColumn="0" w:firstRowLastColumn="0" w:lastRowFirstColumn="0" w:lastRowLastColumn="0"/>
              <w:rPr>
                <w:sz w:val="16"/>
                <w:szCs w:val="16"/>
              </w:rPr>
            </w:pPr>
            <w:r w:rsidRPr="00D9281A">
              <w:rPr>
                <w:sz w:val="16"/>
                <w:szCs w:val="16"/>
              </w:rPr>
              <w:t>2015</w:t>
            </w:r>
          </w:p>
        </w:tc>
        <w:tc>
          <w:tcPr>
            <w:tcW w:w="812" w:type="pct"/>
            <w:noWrap/>
            <w:vAlign w:val="center"/>
            <w:hideMark/>
          </w:tcPr>
          <w:p w14:paraId="3E39C4F9" w14:textId="77777777" w:rsidR="00AA61FD" w:rsidRPr="00D9281A" w:rsidRDefault="00AA61FD" w:rsidP="00945B0D">
            <w:pPr>
              <w:jc w:val="center"/>
              <w:cnfStyle w:val="100000000000" w:firstRow="1" w:lastRow="0" w:firstColumn="0" w:lastColumn="0" w:oddVBand="0" w:evenVBand="0" w:oddHBand="0" w:evenHBand="0" w:firstRowFirstColumn="0" w:firstRowLastColumn="0" w:lastRowFirstColumn="0" w:lastRowLastColumn="0"/>
              <w:rPr>
                <w:sz w:val="16"/>
                <w:szCs w:val="16"/>
              </w:rPr>
            </w:pPr>
            <w:r w:rsidRPr="00D9281A">
              <w:rPr>
                <w:sz w:val="16"/>
                <w:szCs w:val="16"/>
              </w:rPr>
              <w:t>2016</w:t>
            </w:r>
          </w:p>
        </w:tc>
        <w:tc>
          <w:tcPr>
            <w:tcW w:w="812" w:type="pct"/>
            <w:noWrap/>
            <w:vAlign w:val="center"/>
            <w:hideMark/>
          </w:tcPr>
          <w:p w14:paraId="494656BA" w14:textId="77777777" w:rsidR="00AA61FD" w:rsidRPr="00D9281A" w:rsidRDefault="00AA61FD" w:rsidP="00945B0D">
            <w:pPr>
              <w:jc w:val="center"/>
              <w:cnfStyle w:val="100000000000" w:firstRow="1" w:lastRow="0" w:firstColumn="0" w:lastColumn="0" w:oddVBand="0" w:evenVBand="0" w:oddHBand="0" w:evenHBand="0" w:firstRowFirstColumn="0" w:firstRowLastColumn="0" w:lastRowFirstColumn="0" w:lastRowLastColumn="0"/>
              <w:rPr>
                <w:sz w:val="16"/>
                <w:szCs w:val="16"/>
              </w:rPr>
            </w:pPr>
            <w:r w:rsidRPr="00D9281A">
              <w:rPr>
                <w:sz w:val="16"/>
                <w:szCs w:val="16"/>
              </w:rPr>
              <w:t>2017</w:t>
            </w:r>
          </w:p>
        </w:tc>
        <w:tc>
          <w:tcPr>
            <w:tcW w:w="890" w:type="pct"/>
            <w:noWrap/>
            <w:vAlign w:val="center"/>
            <w:hideMark/>
          </w:tcPr>
          <w:p w14:paraId="2A7A0858" w14:textId="77777777" w:rsidR="00AA61FD" w:rsidRPr="00D9281A" w:rsidRDefault="00AA61FD" w:rsidP="00945B0D">
            <w:pPr>
              <w:jc w:val="center"/>
              <w:cnfStyle w:val="100000000000" w:firstRow="1" w:lastRow="0" w:firstColumn="0" w:lastColumn="0" w:oddVBand="0" w:evenVBand="0" w:oddHBand="0" w:evenHBand="0" w:firstRowFirstColumn="0" w:firstRowLastColumn="0" w:lastRowFirstColumn="0" w:lastRowLastColumn="0"/>
              <w:rPr>
                <w:sz w:val="16"/>
                <w:szCs w:val="16"/>
              </w:rPr>
            </w:pPr>
            <w:r w:rsidRPr="00D9281A">
              <w:rPr>
                <w:sz w:val="16"/>
                <w:szCs w:val="16"/>
              </w:rPr>
              <w:t>2018</w:t>
            </w:r>
          </w:p>
        </w:tc>
      </w:tr>
      <w:tr w:rsidR="00AA61FD" w:rsidRPr="00D9281A" w14:paraId="4A06B3A4" w14:textId="77777777" w:rsidTr="00945B0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39C0CE9B" w14:textId="77777777" w:rsidR="00AA61FD" w:rsidRPr="00D9281A" w:rsidRDefault="00AA61FD" w:rsidP="00945B0D">
            <w:pPr>
              <w:jc w:val="center"/>
              <w:rPr>
                <w:sz w:val="16"/>
                <w:szCs w:val="16"/>
              </w:rPr>
            </w:pPr>
            <w:r w:rsidRPr="00D9281A">
              <w:rPr>
                <w:sz w:val="16"/>
                <w:szCs w:val="16"/>
              </w:rPr>
              <w:t>0 sysselsatte</w:t>
            </w:r>
          </w:p>
        </w:tc>
        <w:tc>
          <w:tcPr>
            <w:tcW w:w="924" w:type="pct"/>
            <w:noWrap/>
            <w:vAlign w:val="center"/>
            <w:hideMark/>
          </w:tcPr>
          <w:p w14:paraId="34C2E67A"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773 934 743 000</w:t>
            </w:r>
          </w:p>
        </w:tc>
        <w:tc>
          <w:tcPr>
            <w:tcW w:w="872" w:type="pct"/>
            <w:noWrap/>
            <w:vAlign w:val="center"/>
            <w:hideMark/>
          </w:tcPr>
          <w:p w14:paraId="3410ABD1"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364 410 854 000</w:t>
            </w:r>
          </w:p>
        </w:tc>
        <w:tc>
          <w:tcPr>
            <w:tcW w:w="812" w:type="pct"/>
            <w:noWrap/>
            <w:vAlign w:val="center"/>
            <w:hideMark/>
          </w:tcPr>
          <w:p w14:paraId="7E9C2E10"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368 626 741 000</w:t>
            </w:r>
          </w:p>
        </w:tc>
        <w:tc>
          <w:tcPr>
            <w:tcW w:w="812" w:type="pct"/>
            <w:noWrap/>
            <w:vAlign w:val="center"/>
            <w:hideMark/>
          </w:tcPr>
          <w:p w14:paraId="48A02468"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380 977 581 000</w:t>
            </w:r>
          </w:p>
        </w:tc>
        <w:tc>
          <w:tcPr>
            <w:tcW w:w="890" w:type="pct"/>
            <w:noWrap/>
            <w:vAlign w:val="center"/>
            <w:hideMark/>
          </w:tcPr>
          <w:p w14:paraId="42A188B7"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398 622 199 000</w:t>
            </w:r>
          </w:p>
        </w:tc>
      </w:tr>
      <w:tr w:rsidR="00AA61FD" w:rsidRPr="00D9281A" w14:paraId="752D9173" w14:textId="77777777" w:rsidTr="00945B0D">
        <w:trPr>
          <w:trHeight w:val="305"/>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7E266846" w14:textId="77777777" w:rsidR="00AA61FD" w:rsidRPr="00D9281A" w:rsidRDefault="00AA61FD" w:rsidP="00945B0D">
            <w:pPr>
              <w:jc w:val="center"/>
              <w:rPr>
                <w:sz w:val="16"/>
                <w:szCs w:val="16"/>
              </w:rPr>
            </w:pPr>
            <w:r w:rsidRPr="00D9281A">
              <w:rPr>
                <w:sz w:val="16"/>
                <w:szCs w:val="16"/>
              </w:rPr>
              <w:t>1-4 sysselsatte</w:t>
            </w:r>
          </w:p>
        </w:tc>
        <w:tc>
          <w:tcPr>
            <w:tcW w:w="924" w:type="pct"/>
            <w:noWrap/>
            <w:vAlign w:val="center"/>
            <w:hideMark/>
          </w:tcPr>
          <w:p w14:paraId="227B537F"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406 812 001 000</w:t>
            </w:r>
          </w:p>
        </w:tc>
        <w:tc>
          <w:tcPr>
            <w:tcW w:w="872" w:type="pct"/>
            <w:noWrap/>
            <w:vAlign w:val="center"/>
            <w:hideMark/>
          </w:tcPr>
          <w:p w14:paraId="703EF198"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402 010 613 000</w:t>
            </w:r>
          </w:p>
        </w:tc>
        <w:tc>
          <w:tcPr>
            <w:tcW w:w="812" w:type="pct"/>
            <w:noWrap/>
            <w:vAlign w:val="center"/>
            <w:hideMark/>
          </w:tcPr>
          <w:p w14:paraId="39C758D8"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419 435 015 000</w:t>
            </w:r>
          </w:p>
        </w:tc>
        <w:tc>
          <w:tcPr>
            <w:tcW w:w="812" w:type="pct"/>
            <w:noWrap/>
            <w:vAlign w:val="center"/>
            <w:hideMark/>
          </w:tcPr>
          <w:p w14:paraId="2FA81D6D"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432 624 315 000</w:t>
            </w:r>
          </w:p>
        </w:tc>
        <w:tc>
          <w:tcPr>
            <w:tcW w:w="890" w:type="pct"/>
            <w:noWrap/>
            <w:vAlign w:val="center"/>
            <w:hideMark/>
          </w:tcPr>
          <w:p w14:paraId="5F7DB8F6"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443 031 491 000</w:t>
            </w:r>
          </w:p>
        </w:tc>
      </w:tr>
      <w:tr w:rsidR="00AA61FD" w:rsidRPr="00D9281A" w14:paraId="6FD562D1" w14:textId="77777777" w:rsidTr="00945B0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7031F20B" w14:textId="77777777" w:rsidR="00AA61FD" w:rsidRPr="00D9281A" w:rsidRDefault="00AA61FD" w:rsidP="00945B0D">
            <w:pPr>
              <w:jc w:val="center"/>
              <w:rPr>
                <w:sz w:val="16"/>
                <w:szCs w:val="16"/>
              </w:rPr>
            </w:pPr>
            <w:r w:rsidRPr="00D9281A">
              <w:rPr>
                <w:sz w:val="16"/>
                <w:szCs w:val="16"/>
              </w:rPr>
              <w:t>5-9 sysselsatte</w:t>
            </w:r>
          </w:p>
        </w:tc>
        <w:tc>
          <w:tcPr>
            <w:tcW w:w="924" w:type="pct"/>
            <w:noWrap/>
            <w:vAlign w:val="center"/>
            <w:hideMark/>
          </w:tcPr>
          <w:p w14:paraId="471F8735"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307 621 618 000</w:t>
            </w:r>
          </w:p>
        </w:tc>
        <w:tc>
          <w:tcPr>
            <w:tcW w:w="872" w:type="pct"/>
            <w:noWrap/>
            <w:vAlign w:val="center"/>
            <w:hideMark/>
          </w:tcPr>
          <w:p w14:paraId="1F92D5CC"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301 264 403 000</w:t>
            </w:r>
          </w:p>
        </w:tc>
        <w:tc>
          <w:tcPr>
            <w:tcW w:w="812" w:type="pct"/>
            <w:noWrap/>
            <w:vAlign w:val="center"/>
            <w:hideMark/>
          </w:tcPr>
          <w:p w14:paraId="5F20A8E8"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318 052 197 000</w:t>
            </w:r>
          </w:p>
        </w:tc>
        <w:tc>
          <w:tcPr>
            <w:tcW w:w="812" w:type="pct"/>
            <w:noWrap/>
            <w:vAlign w:val="center"/>
            <w:hideMark/>
          </w:tcPr>
          <w:p w14:paraId="02FCB629"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329 140 728 000</w:t>
            </w:r>
          </w:p>
        </w:tc>
        <w:tc>
          <w:tcPr>
            <w:tcW w:w="890" w:type="pct"/>
            <w:noWrap/>
            <w:vAlign w:val="center"/>
            <w:hideMark/>
          </w:tcPr>
          <w:p w14:paraId="33E4E942"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346 557 444 000</w:t>
            </w:r>
          </w:p>
        </w:tc>
      </w:tr>
      <w:tr w:rsidR="00AA61FD" w:rsidRPr="00D9281A" w14:paraId="0BCDC326" w14:textId="77777777" w:rsidTr="00945B0D">
        <w:trPr>
          <w:trHeight w:val="305"/>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683CD499" w14:textId="77777777" w:rsidR="00AA61FD" w:rsidRPr="00D9281A" w:rsidRDefault="00AA61FD" w:rsidP="00945B0D">
            <w:pPr>
              <w:jc w:val="center"/>
              <w:rPr>
                <w:sz w:val="16"/>
                <w:szCs w:val="16"/>
              </w:rPr>
            </w:pPr>
            <w:r w:rsidRPr="00D9281A">
              <w:rPr>
                <w:sz w:val="16"/>
                <w:szCs w:val="16"/>
              </w:rPr>
              <w:t>10-19 sysselsatte</w:t>
            </w:r>
          </w:p>
        </w:tc>
        <w:tc>
          <w:tcPr>
            <w:tcW w:w="924" w:type="pct"/>
            <w:noWrap/>
            <w:vAlign w:val="center"/>
            <w:hideMark/>
          </w:tcPr>
          <w:p w14:paraId="00B4E859"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412 944 293 000</w:t>
            </w:r>
          </w:p>
        </w:tc>
        <w:tc>
          <w:tcPr>
            <w:tcW w:w="872" w:type="pct"/>
            <w:noWrap/>
            <w:vAlign w:val="center"/>
            <w:hideMark/>
          </w:tcPr>
          <w:p w14:paraId="37424DFD"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429 879 424 000</w:t>
            </w:r>
          </w:p>
        </w:tc>
        <w:tc>
          <w:tcPr>
            <w:tcW w:w="812" w:type="pct"/>
            <w:noWrap/>
            <w:vAlign w:val="center"/>
            <w:hideMark/>
          </w:tcPr>
          <w:p w14:paraId="05B6AA79"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459 091 101 000</w:t>
            </w:r>
          </w:p>
        </w:tc>
        <w:tc>
          <w:tcPr>
            <w:tcW w:w="812" w:type="pct"/>
            <w:noWrap/>
            <w:vAlign w:val="center"/>
            <w:hideMark/>
          </w:tcPr>
          <w:p w14:paraId="4BB68E71"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475 435 372 000</w:t>
            </w:r>
          </w:p>
        </w:tc>
        <w:tc>
          <w:tcPr>
            <w:tcW w:w="890" w:type="pct"/>
            <w:noWrap/>
            <w:vAlign w:val="center"/>
            <w:hideMark/>
          </w:tcPr>
          <w:p w14:paraId="35835E84"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505 611 007 000</w:t>
            </w:r>
          </w:p>
        </w:tc>
      </w:tr>
      <w:tr w:rsidR="00AA61FD" w:rsidRPr="00D9281A" w14:paraId="13CE2C33" w14:textId="77777777" w:rsidTr="00945B0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6FC4506F" w14:textId="77777777" w:rsidR="00AA61FD" w:rsidRPr="00D9281A" w:rsidRDefault="00AA61FD" w:rsidP="00945B0D">
            <w:pPr>
              <w:jc w:val="center"/>
              <w:rPr>
                <w:sz w:val="16"/>
                <w:szCs w:val="16"/>
              </w:rPr>
            </w:pPr>
            <w:r w:rsidRPr="00D9281A">
              <w:rPr>
                <w:sz w:val="16"/>
                <w:szCs w:val="16"/>
              </w:rPr>
              <w:t>20-49 sysselsatte</w:t>
            </w:r>
          </w:p>
        </w:tc>
        <w:tc>
          <w:tcPr>
            <w:tcW w:w="924" w:type="pct"/>
            <w:noWrap/>
            <w:vAlign w:val="center"/>
            <w:hideMark/>
          </w:tcPr>
          <w:p w14:paraId="594EA50A"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571 359 027 000</w:t>
            </w:r>
          </w:p>
        </w:tc>
        <w:tc>
          <w:tcPr>
            <w:tcW w:w="872" w:type="pct"/>
            <w:noWrap/>
            <w:vAlign w:val="center"/>
            <w:hideMark/>
          </w:tcPr>
          <w:p w14:paraId="391E4E12"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592 260 857 000</w:t>
            </w:r>
          </w:p>
        </w:tc>
        <w:tc>
          <w:tcPr>
            <w:tcW w:w="812" w:type="pct"/>
            <w:noWrap/>
            <w:vAlign w:val="center"/>
            <w:hideMark/>
          </w:tcPr>
          <w:p w14:paraId="5AA5CF6C"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610 620 672 000</w:t>
            </w:r>
          </w:p>
        </w:tc>
        <w:tc>
          <w:tcPr>
            <w:tcW w:w="812" w:type="pct"/>
            <w:noWrap/>
            <w:vAlign w:val="center"/>
            <w:hideMark/>
          </w:tcPr>
          <w:p w14:paraId="261335A2"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643 425 971 000</w:t>
            </w:r>
          </w:p>
        </w:tc>
        <w:tc>
          <w:tcPr>
            <w:tcW w:w="890" w:type="pct"/>
            <w:noWrap/>
            <w:vAlign w:val="center"/>
            <w:hideMark/>
          </w:tcPr>
          <w:p w14:paraId="49FD41B2"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668 677 850 000</w:t>
            </w:r>
          </w:p>
        </w:tc>
      </w:tr>
      <w:tr w:rsidR="00AA61FD" w:rsidRPr="00D9281A" w14:paraId="03684112" w14:textId="77777777" w:rsidTr="00945B0D">
        <w:trPr>
          <w:trHeight w:val="305"/>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67824E88" w14:textId="77777777" w:rsidR="00AA61FD" w:rsidRPr="00D9281A" w:rsidRDefault="00AA61FD" w:rsidP="00945B0D">
            <w:pPr>
              <w:jc w:val="center"/>
              <w:rPr>
                <w:sz w:val="16"/>
                <w:szCs w:val="16"/>
              </w:rPr>
            </w:pPr>
            <w:r w:rsidRPr="00D9281A">
              <w:rPr>
                <w:sz w:val="16"/>
                <w:szCs w:val="16"/>
              </w:rPr>
              <w:t>50-99 sysselsatte</w:t>
            </w:r>
          </w:p>
        </w:tc>
        <w:tc>
          <w:tcPr>
            <w:tcW w:w="924" w:type="pct"/>
            <w:noWrap/>
            <w:vAlign w:val="center"/>
            <w:hideMark/>
          </w:tcPr>
          <w:p w14:paraId="0D0BA57B"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428 969 316 000</w:t>
            </w:r>
          </w:p>
        </w:tc>
        <w:tc>
          <w:tcPr>
            <w:tcW w:w="872" w:type="pct"/>
            <w:noWrap/>
            <w:vAlign w:val="center"/>
            <w:hideMark/>
          </w:tcPr>
          <w:p w14:paraId="12D80CA5"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413 893 818 000</w:t>
            </w:r>
          </w:p>
        </w:tc>
        <w:tc>
          <w:tcPr>
            <w:tcW w:w="812" w:type="pct"/>
            <w:noWrap/>
            <w:vAlign w:val="center"/>
            <w:hideMark/>
          </w:tcPr>
          <w:p w14:paraId="0569C8D2"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407 034 902 000</w:t>
            </w:r>
          </w:p>
        </w:tc>
        <w:tc>
          <w:tcPr>
            <w:tcW w:w="812" w:type="pct"/>
            <w:noWrap/>
            <w:vAlign w:val="center"/>
            <w:hideMark/>
          </w:tcPr>
          <w:p w14:paraId="4649E094"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434 854 897 000</w:t>
            </w:r>
          </w:p>
        </w:tc>
        <w:tc>
          <w:tcPr>
            <w:tcW w:w="890" w:type="pct"/>
            <w:noWrap/>
            <w:vAlign w:val="center"/>
            <w:hideMark/>
          </w:tcPr>
          <w:p w14:paraId="1B3961C3"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480 708 352 000</w:t>
            </w:r>
          </w:p>
        </w:tc>
      </w:tr>
      <w:tr w:rsidR="00AA61FD" w:rsidRPr="00D9281A" w14:paraId="5A27908B" w14:textId="77777777" w:rsidTr="00945B0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5195111A" w14:textId="77777777" w:rsidR="00AA61FD" w:rsidRPr="00D9281A" w:rsidRDefault="00AA61FD" w:rsidP="00945B0D">
            <w:pPr>
              <w:jc w:val="center"/>
              <w:rPr>
                <w:sz w:val="16"/>
                <w:szCs w:val="16"/>
              </w:rPr>
            </w:pPr>
            <w:r w:rsidRPr="00D9281A">
              <w:rPr>
                <w:sz w:val="16"/>
                <w:szCs w:val="16"/>
              </w:rPr>
              <w:t>100-249 sysselsatte</w:t>
            </w:r>
          </w:p>
        </w:tc>
        <w:tc>
          <w:tcPr>
            <w:tcW w:w="924" w:type="pct"/>
            <w:noWrap/>
            <w:vAlign w:val="center"/>
            <w:hideMark/>
          </w:tcPr>
          <w:p w14:paraId="5EBDE9CF"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583 502 487 000</w:t>
            </w:r>
          </w:p>
        </w:tc>
        <w:tc>
          <w:tcPr>
            <w:tcW w:w="872" w:type="pct"/>
            <w:noWrap/>
            <w:vAlign w:val="center"/>
            <w:hideMark/>
          </w:tcPr>
          <w:p w14:paraId="36BFA276"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585 562 163 000</w:t>
            </w:r>
          </w:p>
        </w:tc>
        <w:tc>
          <w:tcPr>
            <w:tcW w:w="812" w:type="pct"/>
            <w:noWrap/>
            <w:vAlign w:val="center"/>
            <w:hideMark/>
          </w:tcPr>
          <w:p w14:paraId="70C850CC"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631 642 370 000</w:t>
            </w:r>
          </w:p>
        </w:tc>
        <w:tc>
          <w:tcPr>
            <w:tcW w:w="812" w:type="pct"/>
            <w:noWrap/>
            <w:vAlign w:val="center"/>
            <w:hideMark/>
          </w:tcPr>
          <w:p w14:paraId="4FD08A56"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651 112 009 000</w:t>
            </w:r>
          </w:p>
        </w:tc>
        <w:tc>
          <w:tcPr>
            <w:tcW w:w="890" w:type="pct"/>
            <w:noWrap/>
            <w:vAlign w:val="center"/>
            <w:hideMark/>
          </w:tcPr>
          <w:p w14:paraId="0E57D232"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705 261 037 000</w:t>
            </w:r>
          </w:p>
        </w:tc>
      </w:tr>
      <w:tr w:rsidR="00AA61FD" w:rsidRPr="00D9281A" w14:paraId="526D4346" w14:textId="77777777" w:rsidTr="00945B0D">
        <w:trPr>
          <w:trHeight w:val="305"/>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3AE1102B" w14:textId="77777777" w:rsidR="00AA61FD" w:rsidRPr="00D9281A" w:rsidRDefault="00AA61FD" w:rsidP="00945B0D">
            <w:pPr>
              <w:jc w:val="center"/>
              <w:rPr>
                <w:sz w:val="16"/>
                <w:szCs w:val="16"/>
              </w:rPr>
            </w:pPr>
            <w:r w:rsidRPr="00D9281A">
              <w:rPr>
                <w:sz w:val="16"/>
                <w:szCs w:val="16"/>
              </w:rPr>
              <w:t>250 sysselsatte og over</w:t>
            </w:r>
          </w:p>
        </w:tc>
        <w:tc>
          <w:tcPr>
            <w:tcW w:w="924" w:type="pct"/>
            <w:noWrap/>
            <w:vAlign w:val="center"/>
            <w:hideMark/>
          </w:tcPr>
          <w:p w14:paraId="67361C22"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2 075 389 632 000</w:t>
            </w:r>
          </w:p>
        </w:tc>
        <w:tc>
          <w:tcPr>
            <w:tcW w:w="872" w:type="pct"/>
            <w:noWrap/>
            <w:vAlign w:val="center"/>
            <w:hideMark/>
          </w:tcPr>
          <w:p w14:paraId="21E22E61"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2 010 114 984 000</w:t>
            </w:r>
          </w:p>
        </w:tc>
        <w:tc>
          <w:tcPr>
            <w:tcW w:w="812" w:type="pct"/>
            <w:noWrap/>
            <w:vAlign w:val="center"/>
            <w:hideMark/>
          </w:tcPr>
          <w:p w14:paraId="7D19F389"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1 861 187 164 000</w:t>
            </w:r>
          </w:p>
        </w:tc>
        <w:tc>
          <w:tcPr>
            <w:tcW w:w="812" w:type="pct"/>
            <w:noWrap/>
            <w:vAlign w:val="center"/>
            <w:hideMark/>
          </w:tcPr>
          <w:p w14:paraId="67A0C6BA"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2 045 409 857 000</w:t>
            </w:r>
          </w:p>
        </w:tc>
        <w:tc>
          <w:tcPr>
            <w:tcW w:w="890" w:type="pct"/>
            <w:noWrap/>
            <w:vAlign w:val="center"/>
            <w:hideMark/>
          </w:tcPr>
          <w:p w14:paraId="1DF4C66F" w14:textId="77777777" w:rsidR="00AA61FD" w:rsidRPr="00D9281A" w:rsidRDefault="00AA61FD" w:rsidP="00945B0D">
            <w:pPr>
              <w:jc w:val="cente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2 325 294 368 000</w:t>
            </w:r>
          </w:p>
        </w:tc>
      </w:tr>
      <w:tr w:rsidR="00AA61FD" w:rsidRPr="00D9281A" w14:paraId="02E545C4" w14:textId="77777777" w:rsidTr="00945B0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90" w:type="pct"/>
            <w:noWrap/>
            <w:vAlign w:val="center"/>
            <w:hideMark/>
          </w:tcPr>
          <w:p w14:paraId="44BAC20D" w14:textId="77777777" w:rsidR="00AA61FD" w:rsidRPr="00D9281A" w:rsidRDefault="00AA61FD" w:rsidP="00945B0D">
            <w:pPr>
              <w:jc w:val="center"/>
              <w:rPr>
                <w:sz w:val="16"/>
                <w:szCs w:val="16"/>
              </w:rPr>
            </w:pPr>
            <w:r w:rsidRPr="00D9281A">
              <w:rPr>
                <w:sz w:val="16"/>
                <w:szCs w:val="16"/>
              </w:rPr>
              <w:t>Sysselsatte med ansatte</w:t>
            </w:r>
            <w:r>
              <w:rPr>
                <w:sz w:val="16"/>
                <w:szCs w:val="16"/>
              </w:rPr>
              <w:t xml:space="preserve"> totalt</w:t>
            </w:r>
          </w:p>
        </w:tc>
        <w:tc>
          <w:tcPr>
            <w:tcW w:w="924" w:type="pct"/>
            <w:noWrap/>
            <w:vAlign w:val="center"/>
            <w:hideMark/>
          </w:tcPr>
          <w:p w14:paraId="4BB33C99"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4 786 598 374 000</w:t>
            </w:r>
          </w:p>
        </w:tc>
        <w:tc>
          <w:tcPr>
            <w:tcW w:w="872" w:type="pct"/>
            <w:noWrap/>
            <w:vAlign w:val="center"/>
            <w:hideMark/>
          </w:tcPr>
          <w:p w14:paraId="36288530"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4 734 986 262 000</w:t>
            </w:r>
          </w:p>
        </w:tc>
        <w:tc>
          <w:tcPr>
            <w:tcW w:w="812" w:type="pct"/>
            <w:noWrap/>
            <w:vAlign w:val="center"/>
            <w:hideMark/>
          </w:tcPr>
          <w:p w14:paraId="4B8A407A"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4 707 063 421 000</w:t>
            </w:r>
          </w:p>
        </w:tc>
        <w:tc>
          <w:tcPr>
            <w:tcW w:w="812" w:type="pct"/>
            <w:noWrap/>
            <w:vAlign w:val="center"/>
            <w:hideMark/>
          </w:tcPr>
          <w:p w14:paraId="11D87173"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5 012 003 149 000</w:t>
            </w:r>
          </w:p>
        </w:tc>
        <w:tc>
          <w:tcPr>
            <w:tcW w:w="890" w:type="pct"/>
            <w:noWrap/>
            <w:vAlign w:val="center"/>
            <w:hideMark/>
          </w:tcPr>
          <w:p w14:paraId="3784F62F" w14:textId="77777777" w:rsidR="00AA61FD" w:rsidRPr="00D9281A" w:rsidRDefault="00AA61FD" w:rsidP="00945B0D">
            <w:pPr>
              <w:jc w:val="cente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5 475 141 549 000</w:t>
            </w:r>
          </w:p>
        </w:tc>
      </w:tr>
    </w:tbl>
    <w:p w14:paraId="30B217C4" w14:textId="77777777" w:rsidR="00AA61FD" w:rsidRDefault="00AA61FD" w:rsidP="00AA61FD">
      <w:pPr>
        <w:rPr>
          <w:sz w:val="16"/>
          <w:szCs w:val="16"/>
        </w:rPr>
      </w:pPr>
      <w:r w:rsidRPr="00660761">
        <w:rPr>
          <w:sz w:val="16"/>
          <w:szCs w:val="16"/>
        </w:rPr>
        <w:t>Kilde: SSB</w:t>
      </w:r>
      <w:r>
        <w:rPr>
          <w:sz w:val="16"/>
          <w:szCs w:val="16"/>
        </w:rPr>
        <w:br/>
      </w:r>
      <w:r>
        <w:rPr>
          <w:sz w:val="16"/>
          <w:szCs w:val="16"/>
        </w:rPr>
        <w:br/>
      </w:r>
      <w:r>
        <w:rPr>
          <w:sz w:val="16"/>
          <w:szCs w:val="16"/>
        </w:rPr>
        <w:br/>
      </w:r>
      <w:r>
        <w:rPr>
          <w:sz w:val="16"/>
          <w:szCs w:val="16"/>
        </w:rPr>
        <w:br/>
      </w:r>
      <w:r>
        <w:rPr>
          <w:sz w:val="16"/>
          <w:szCs w:val="16"/>
        </w:rPr>
        <w:br/>
      </w:r>
      <w:r>
        <w:rPr>
          <w:sz w:val="16"/>
          <w:szCs w:val="16"/>
        </w:rPr>
        <w:lastRenderedPageBreak/>
        <w:br/>
      </w:r>
      <w:r>
        <w:rPr>
          <w:sz w:val="16"/>
          <w:szCs w:val="16"/>
        </w:rPr>
        <w:br/>
      </w:r>
    </w:p>
    <w:p w14:paraId="3B469073" w14:textId="77777777" w:rsidR="00AA61FD" w:rsidRPr="009A0374" w:rsidRDefault="00AA61FD" w:rsidP="00AA61FD">
      <w:pPr>
        <w:pStyle w:val="Bildetekst"/>
        <w:keepNext/>
        <w:rPr>
          <w:sz w:val="20"/>
          <w:szCs w:val="22"/>
        </w:rPr>
      </w:pPr>
      <w:r w:rsidRPr="009A0374">
        <w:rPr>
          <w:sz w:val="20"/>
          <w:szCs w:val="22"/>
        </w:rPr>
        <w:t xml:space="preserve">Fordeling av omsetning i norske foretak med registrerte ansatte, 2014-2018. </w:t>
      </w:r>
      <w:r>
        <w:rPr>
          <w:sz w:val="20"/>
          <w:szCs w:val="22"/>
        </w:rPr>
        <w:br/>
      </w:r>
      <w:r w:rsidRPr="009A0374">
        <w:rPr>
          <w:sz w:val="20"/>
          <w:szCs w:val="22"/>
        </w:rPr>
        <w:t>Inndelt etter størrelsesgruppe. Foretak unntatt offentlig forvaltning og primærnæringene.</w:t>
      </w:r>
    </w:p>
    <w:tbl>
      <w:tblPr>
        <w:tblStyle w:val="Rutenettabell5mrkuthevingsfarge1"/>
        <w:tblW w:w="9181" w:type="dxa"/>
        <w:tblLook w:val="04A0" w:firstRow="1" w:lastRow="0" w:firstColumn="1" w:lastColumn="0" w:noHBand="0" w:noVBand="1"/>
      </w:tblPr>
      <w:tblGrid>
        <w:gridCol w:w="1852"/>
        <w:gridCol w:w="1465"/>
        <w:gridCol w:w="1466"/>
        <w:gridCol w:w="1466"/>
        <w:gridCol w:w="1466"/>
        <w:gridCol w:w="1466"/>
      </w:tblGrid>
      <w:tr w:rsidR="00AA61FD" w:rsidRPr="00D9281A" w14:paraId="51280A9F" w14:textId="77777777" w:rsidTr="00945B0D">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852" w:type="dxa"/>
            <w:noWrap/>
            <w:hideMark/>
          </w:tcPr>
          <w:p w14:paraId="1D2058E2" w14:textId="77777777" w:rsidR="00AA61FD" w:rsidRPr="00D9281A" w:rsidRDefault="00AA61FD" w:rsidP="00945B0D">
            <w:pPr>
              <w:rPr>
                <w:sz w:val="16"/>
                <w:szCs w:val="16"/>
              </w:rPr>
            </w:pPr>
            <w:r w:rsidRPr="00D9281A">
              <w:rPr>
                <w:sz w:val="16"/>
                <w:szCs w:val="16"/>
              </w:rPr>
              <w:t> </w:t>
            </w:r>
          </w:p>
        </w:tc>
        <w:tc>
          <w:tcPr>
            <w:tcW w:w="1465" w:type="dxa"/>
            <w:noWrap/>
            <w:hideMark/>
          </w:tcPr>
          <w:p w14:paraId="7CFE860D" w14:textId="77777777" w:rsidR="00AA61FD" w:rsidRPr="00D9281A" w:rsidRDefault="00AA61FD" w:rsidP="00945B0D">
            <w:pPr>
              <w:cnfStyle w:val="100000000000" w:firstRow="1" w:lastRow="0" w:firstColumn="0" w:lastColumn="0" w:oddVBand="0" w:evenVBand="0" w:oddHBand="0" w:evenHBand="0" w:firstRowFirstColumn="0" w:firstRowLastColumn="0" w:lastRowFirstColumn="0" w:lastRowLastColumn="0"/>
              <w:rPr>
                <w:sz w:val="16"/>
                <w:szCs w:val="16"/>
              </w:rPr>
            </w:pPr>
            <w:r w:rsidRPr="00D9281A">
              <w:rPr>
                <w:sz w:val="16"/>
                <w:szCs w:val="16"/>
              </w:rPr>
              <w:t>2014</w:t>
            </w:r>
          </w:p>
        </w:tc>
        <w:tc>
          <w:tcPr>
            <w:tcW w:w="1466" w:type="dxa"/>
            <w:noWrap/>
            <w:hideMark/>
          </w:tcPr>
          <w:p w14:paraId="4B69AA84" w14:textId="77777777" w:rsidR="00AA61FD" w:rsidRPr="00D9281A" w:rsidRDefault="00AA61FD" w:rsidP="00945B0D">
            <w:pPr>
              <w:cnfStyle w:val="100000000000" w:firstRow="1" w:lastRow="0" w:firstColumn="0" w:lastColumn="0" w:oddVBand="0" w:evenVBand="0" w:oddHBand="0" w:evenHBand="0" w:firstRowFirstColumn="0" w:firstRowLastColumn="0" w:lastRowFirstColumn="0" w:lastRowLastColumn="0"/>
              <w:rPr>
                <w:sz w:val="16"/>
                <w:szCs w:val="16"/>
              </w:rPr>
            </w:pPr>
            <w:r w:rsidRPr="00D9281A">
              <w:rPr>
                <w:sz w:val="16"/>
                <w:szCs w:val="16"/>
              </w:rPr>
              <w:t>2015</w:t>
            </w:r>
          </w:p>
        </w:tc>
        <w:tc>
          <w:tcPr>
            <w:tcW w:w="1466" w:type="dxa"/>
            <w:noWrap/>
            <w:hideMark/>
          </w:tcPr>
          <w:p w14:paraId="2FBF654B" w14:textId="77777777" w:rsidR="00AA61FD" w:rsidRPr="00D9281A" w:rsidRDefault="00AA61FD" w:rsidP="00945B0D">
            <w:pPr>
              <w:cnfStyle w:val="100000000000" w:firstRow="1" w:lastRow="0" w:firstColumn="0" w:lastColumn="0" w:oddVBand="0" w:evenVBand="0" w:oddHBand="0" w:evenHBand="0" w:firstRowFirstColumn="0" w:firstRowLastColumn="0" w:lastRowFirstColumn="0" w:lastRowLastColumn="0"/>
              <w:rPr>
                <w:sz w:val="16"/>
                <w:szCs w:val="16"/>
              </w:rPr>
            </w:pPr>
            <w:r w:rsidRPr="00D9281A">
              <w:rPr>
                <w:sz w:val="16"/>
                <w:szCs w:val="16"/>
              </w:rPr>
              <w:t>2016</w:t>
            </w:r>
          </w:p>
        </w:tc>
        <w:tc>
          <w:tcPr>
            <w:tcW w:w="1466" w:type="dxa"/>
            <w:noWrap/>
            <w:hideMark/>
          </w:tcPr>
          <w:p w14:paraId="5C9DB1D4" w14:textId="77777777" w:rsidR="00AA61FD" w:rsidRPr="00D9281A" w:rsidRDefault="00AA61FD" w:rsidP="00945B0D">
            <w:pPr>
              <w:cnfStyle w:val="100000000000" w:firstRow="1" w:lastRow="0" w:firstColumn="0" w:lastColumn="0" w:oddVBand="0" w:evenVBand="0" w:oddHBand="0" w:evenHBand="0" w:firstRowFirstColumn="0" w:firstRowLastColumn="0" w:lastRowFirstColumn="0" w:lastRowLastColumn="0"/>
              <w:rPr>
                <w:sz w:val="16"/>
                <w:szCs w:val="16"/>
              </w:rPr>
            </w:pPr>
            <w:r w:rsidRPr="00D9281A">
              <w:rPr>
                <w:sz w:val="16"/>
                <w:szCs w:val="16"/>
              </w:rPr>
              <w:t>2017</w:t>
            </w:r>
          </w:p>
        </w:tc>
        <w:tc>
          <w:tcPr>
            <w:tcW w:w="1466" w:type="dxa"/>
            <w:noWrap/>
            <w:hideMark/>
          </w:tcPr>
          <w:p w14:paraId="28BC0C13" w14:textId="77777777" w:rsidR="00AA61FD" w:rsidRPr="00D9281A" w:rsidRDefault="00AA61FD" w:rsidP="00945B0D">
            <w:pPr>
              <w:cnfStyle w:val="100000000000" w:firstRow="1" w:lastRow="0" w:firstColumn="0" w:lastColumn="0" w:oddVBand="0" w:evenVBand="0" w:oddHBand="0" w:evenHBand="0" w:firstRowFirstColumn="0" w:firstRowLastColumn="0" w:lastRowFirstColumn="0" w:lastRowLastColumn="0"/>
              <w:rPr>
                <w:sz w:val="16"/>
                <w:szCs w:val="16"/>
              </w:rPr>
            </w:pPr>
            <w:r w:rsidRPr="00D9281A">
              <w:rPr>
                <w:sz w:val="16"/>
                <w:szCs w:val="16"/>
              </w:rPr>
              <w:t>2018</w:t>
            </w:r>
          </w:p>
        </w:tc>
      </w:tr>
      <w:tr w:rsidR="00AA61FD" w:rsidRPr="00D9281A" w14:paraId="0B67DE3A" w14:textId="77777777" w:rsidTr="00945B0D">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852" w:type="dxa"/>
            <w:noWrap/>
            <w:hideMark/>
          </w:tcPr>
          <w:p w14:paraId="082C47D0" w14:textId="77777777" w:rsidR="00AA61FD" w:rsidRPr="00D9281A" w:rsidRDefault="00AA61FD" w:rsidP="00945B0D">
            <w:pPr>
              <w:rPr>
                <w:sz w:val="16"/>
                <w:szCs w:val="16"/>
              </w:rPr>
            </w:pPr>
            <w:r w:rsidRPr="00D9281A">
              <w:rPr>
                <w:sz w:val="16"/>
                <w:szCs w:val="16"/>
              </w:rPr>
              <w:t>1-4 sysselsatte</w:t>
            </w:r>
          </w:p>
        </w:tc>
        <w:tc>
          <w:tcPr>
            <w:tcW w:w="1465" w:type="dxa"/>
            <w:noWrap/>
            <w:hideMark/>
          </w:tcPr>
          <w:p w14:paraId="25CBA612"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8,5 %</w:t>
            </w:r>
          </w:p>
        </w:tc>
        <w:tc>
          <w:tcPr>
            <w:tcW w:w="1466" w:type="dxa"/>
            <w:noWrap/>
            <w:hideMark/>
          </w:tcPr>
          <w:p w14:paraId="10AEBA2A"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8,5 %</w:t>
            </w:r>
          </w:p>
        </w:tc>
        <w:tc>
          <w:tcPr>
            <w:tcW w:w="1466" w:type="dxa"/>
            <w:noWrap/>
            <w:hideMark/>
          </w:tcPr>
          <w:p w14:paraId="1A288486"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8,9 %</w:t>
            </w:r>
          </w:p>
        </w:tc>
        <w:tc>
          <w:tcPr>
            <w:tcW w:w="1466" w:type="dxa"/>
            <w:noWrap/>
            <w:hideMark/>
          </w:tcPr>
          <w:p w14:paraId="1F70C30D"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8,6 %</w:t>
            </w:r>
          </w:p>
        </w:tc>
        <w:tc>
          <w:tcPr>
            <w:tcW w:w="1466" w:type="dxa"/>
            <w:noWrap/>
            <w:hideMark/>
          </w:tcPr>
          <w:p w14:paraId="43F7904E"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8,1 %</w:t>
            </w:r>
          </w:p>
        </w:tc>
      </w:tr>
      <w:tr w:rsidR="00AA61FD" w:rsidRPr="00D9281A" w14:paraId="76976FF1" w14:textId="77777777" w:rsidTr="00945B0D">
        <w:trPr>
          <w:trHeight w:val="642"/>
        </w:trPr>
        <w:tc>
          <w:tcPr>
            <w:cnfStyle w:val="001000000000" w:firstRow="0" w:lastRow="0" w:firstColumn="1" w:lastColumn="0" w:oddVBand="0" w:evenVBand="0" w:oddHBand="0" w:evenHBand="0" w:firstRowFirstColumn="0" w:firstRowLastColumn="0" w:lastRowFirstColumn="0" w:lastRowLastColumn="0"/>
            <w:tcW w:w="1852" w:type="dxa"/>
            <w:noWrap/>
            <w:hideMark/>
          </w:tcPr>
          <w:p w14:paraId="2AC4FB0A" w14:textId="77777777" w:rsidR="00AA61FD" w:rsidRPr="00D9281A" w:rsidRDefault="00AA61FD" w:rsidP="00945B0D">
            <w:pPr>
              <w:rPr>
                <w:sz w:val="16"/>
                <w:szCs w:val="16"/>
              </w:rPr>
            </w:pPr>
            <w:r w:rsidRPr="00D9281A">
              <w:rPr>
                <w:sz w:val="16"/>
                <w:szCs w:val="16"/>
              </w:rPr>
              <w:t>5-9 sysselsatte</w:t>
            </w:r>
          </w:p>
        </w:tc>
        <w:tc>
          <w:tcPr>
            <w:tcW w:w="1465" w:type="dxa"/>
            <w:noWrap/>
            <w:hideMark/>
          </w:tcPr>
          <w:p w14:paraId="61DF694D" w14:textId="77777777" w:rsidR="00AA61FD" w:rsidRPr="00D9281A" w:rsidRDefault="00AA61FD" w:rsidP="00945B0D">
            <w:pP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6,4 %</w:t>
            </w:r>
          </w:p>
        </w:tc>
        <w:tc>
          <w:tcPr>
            <w:tcW w:w="1466" w:type="dxa"/>
            <w:noWrap/>
            <w:hideMark/>
          </w:tcPr>
          <w:p w14:paraId="52D7916D" w14:textId="77777777" w:rsidR="00AA61FD" w:rsidRPr="00D9281A" w:rsidRDefault="00AA61FD" w:rsidP="00945B0D">
            <w:pP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6,4 %</w:t>
            </w:r>
          </w:p>
        </w:tc>
        <w:tc>
          <w:tcPr>
            <w:tcW w:w="1466" w:type="dxa"/>
            <w:noWrap/>
            <w:hideMark/>
          </w:tcPr>
          <w:p w14:paraId="32F2F65D" w14:textId="77777777" w:rsidR="00AA61FD" w:rsidRPr="00D9281A" w:rsidRDefault="00AA61FD" w:rsidP="00945B0D">
            <w:pP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6,8 %</w:t>
            </w:r>
          </w:p>
        </w:tc>
        <w:tc>
          <w:tcPr>
            <w:tcW w:w="1466" w:type="dxa"/>
            <w:noWrap/>
            <w:hideMark/>
          </w:tcPr>
          <w:p w14:paraId="2DE2199D" w14:textId="77777777" w:rsidR="00AA61FD" w:rsidRPr="00D9281A" w:rsidRDefault="00AA61FD" w:rsidP="00945B0D">
            <w:pP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6,6 %</w:t>
            </w:r>
          </w:p>
        </w:tc>
        <w:tc>
          <w:tcPr>
            <w:tcW w:w="1466" w:type="dxa"/>
            <w:noWrap/>
            <w:hideMark/>
          </w:tcPr>
          <w:p w14:paraId="55FD6EFB" w14:textId="77777777" w:rsidR="00AA61FD" w:rsidRPr="00D9281A" w:rsidRDefault="00AA61FD" w:rsidP="00945B0D">
            <w:pP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6,3 %</w:t>
            </w:r>
          </w:p>
        </w:tc>
      </w:tr>
      <w:tr w:rsidR="00AA61FD" w:rsidRPr="00D9281A" w14:paraId="1F031206" w14:textId="77777777" w:rsidTr="00945B0D">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852" w:type="dxa"/>
            <w:noWrap/>
            <w:hideMark/>
          </w:tcPr>
          <w:p w14:paraId="2AAE6BCF" w14:textId="77777777" w:rsidR="00AA61FD" w:rsidRPr="00D9281A" w:rsidRDefault="00AA61FD" w:rsidP="00945B0D">
            <w:pPr>
              <w:rPr>
                <w:sz w:val="16"/>
                <w:szCs w:val="16"/>
              </w:rPr>
            </w:pPr>
            <w:r w:rsidRPr="00D9281A">
              <w:rPr>
                <w:sz w:val="16"/>
                <w:szCs w:val="16"/>
              </w:rPr>
              <w:t>10-19 sysselsatte</w:t>
            </w:r>
          </w:p>
        </w:tc>
        <w:tc>
          <w:tcPr>
            <w:tcW w:w="1465" w:type="dxa"/>
            <w:noWrap/>
            <w:hideMark/>
          </w:tcPr>
          <w:p w14:paraId="006AB666"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8,6 %</w:t>
            </w:r>
          </w:p>
        </w:tc>
        <w:tc>
          <w:tcPr>
            <w:tcW w:w="1466" w:type="dxa"/>
            <w:noWrap/>
            <w:hideMark/>
          </w:tcPr>
          <w:p w14:paraId="18E42480"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9,1 %</w:t>
            </w:r>
          </w:p>
        </w:tc>
        <w:tc>
          <w:tcPr>
            <w:tcW w:w="1466" w:type="dxa"/>
            <w:noWrap/>
            <w:hideMark/>
          </w:tcPr>
          <w:p w14:paraId="0358F3E2"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9,8 %</w:t>
            </w:r>
          </w:p>
        </w:tc>
        <w:tc>
          <w:tcPr>
            <w:tcW w:w="1466" w:type="dxa"/>
            <w:noWrap/>
            <w:hideMark/>
          </w:tcPr>
          <w:p w14:paraId="0690D89E"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9,5 %</w:t>
            </w:r>
          </w:p>
        </w:tc>
        <w:tc>
          <w:tcPr>
            <w:tcW w:w="1466" w:type="dxa"/>
            <w:noWrap/>
            <w:hideMark/>
          </w:tcPr>
          <w:p w14:paraId="7DD2E75F"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9,2 %</w:t>
            </w:r>
          </w:p>
        </w:tc>
      </w:tr>
      <w:tr w:rsidR="00AA61FD" w:rsidRPr="00D9281A" w14:paraId="24471B34" w14:textId="77777777" w:rsidTr="00945B0D">
        <w:trPr>
          <w:trHeight w:val="642"/>
        </w:trPr>
        <w:tc>
          <w:tcPr>
            <w:cnfStyle w:val="001000000000" w:firstRow="0" w:lastRow="0" w:firstColumn="1" w:lastColumn="0" w:oddVBand="0" w:evenVBand="0" w:oddHBand="0" w:evenHBand="0" w:firstRowFirstColumn="0" w:firstRowLastColumn="0" w:lastRowFirstColumn="0" w:lastRowLastColumn="0"/>
            <w:tcW w:w="1852" w:type="dxa"/>
            <w:noWrap/>
            <w:hideMark/>
          </w:tcPr>
          <w:p w14:paraId="53D73EA1" w14:textId="77777777" w:rsidR="00AA61FD" w:rsidRPr="00D9281A" w:rsidRDefault="00AA61FD" w:rsidP="00945B0D">
            <w:pPr>
              <w:rPr>
                <w:sz w:val="16"/>
                <w:szCs w:val="16"/>
              </w:rPr>
            </w:pPr>
            <w:r w:rsidRPr="00D9281A">
              <w:rPr>
                <w:sz w:val="16"/>
                <w:szCs w:val="16"/>
              </w:rPr>
              <w:t>20-49 sysselsatte</w:t>
            </w:r>
          </w:p>
        </w:tc>
        <w:tc>
          <w:tcPr>
            <w:tcW w:w="1465" w:type="dxa"/>
            <w:noWrap/>
            <w:hideMark/>
          </w:tcPr>
          <w:p w14:paraId="038A8726" w14:textId="77777777" w:rsidR="00AA61FD" w:rsidRPr="00D9281A" w:rsidRDefault="00AA61FD" w:rsidP="00945B0D">
            <w:pP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11,9 %</w:t>
            </w:r>
          </w:p>
        </w:tc>
        <w:tc>
          <w:tcPr>
            <w:tcW w:w="1466" w:type="dxa"/>
            <w:noWrap/>
            <w:hideMark/>
          </w:tcPr>
          <w:p w14:paraId="746F7C6A" w14:textId="77777777" w:rsidR="00AA61FD" w:rsidRPr="00D9281A" w:rsidRDefault="00AA61FD" w:rsidP="00945B0D">
            <w:pP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12,5 %</w:t>
            </w:r>
          </w:p>
        </w:tc>
        <w:tc>
          <w:tcPr>
            <w:tcW w:w="1466" w:type="dxa"/>
            <w:noWrap/>
            <w:hideMark/>
          </w:tcPr>
          <w:p w14:paraId="7404F6E0" w14:textId="77777777" w:rsidR="00AA61FD" w:rsidRPr="00D9281A" w:rsidRDefault="00AA61FD" w:rsidP="00945B0D">
            <w:pP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13,0 %</w:t>
            </w:r>
          </w:p>
        </w:tc>
        <w:tc>
          <w:tcPr>
            <w:tcW w:w="1466" w:type="dxa"/>
            <w:noWrap/>
            <w:hideMark/>
          </w:tcPr>
          <w:p w14:paraId="7D7FDFB0" w14:textId="77777777" w:rsidR="00AA61FD" w:rsidRPr="00D9281A" w:rsidRDefault="00AA61FD" w:rsidP="00945B0D">
            <w:pP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12,8 %</w:t>
            </w:r>
          </w:p>
        </w:tc>
        <w:tc>
          <w:tcPr>
            <w:tcW w:w="1466" w:type="dxa"/>
            <w:noWrap/>
            <w:hideMark/>
          </w:tcPr>
          <w:p w14:paraId="2DB56DEE" w14:textId="77777777" w:rsidR="00AA61FD" w:rsidRPr="00D9281A" w:rsidRDefault="00AA61FD" w:rsidP="00945B0D">
            <w:pP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12,2 %</w:t>
            </w:r>
          </w:p>
        </w:tc>
      </w:tr>
      <w:tr w:rsidR="00AA61FD" w:rsidRPr="00D9281A" w14:paraId="0D52AA11" w14:textId="77777777" w:rsidTr="00945B0D">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852" w:type="dxa"/>
            <w:noWrap/>
            <w:hideMark/>
          </w:tcPr>
          <w:p w14:paraId="56EB6844" w14:textId="77777777" w:rsidR="00AA61FD" w:rsidRPr="00D9281A" w:rsidRDefault="00AA61FD" w:rsidP="00945B0D">
            <w:pPr>
              <w:rPr>
                <w:sz w:val="16"/>
                <w:szCs w:val="16"/>
              </w:rPr>
            </w:pPr>
            <w:r w:rsidRPr="00D9281A">
              <w:rPr>
                <w:sz w:val="16"/>
                <w:szCs w:val="16"/>
              </w:rPr>
              <w:t>50-99 sysselsatte</w:t>
            </w:r>
          </w:p>
        </w:tc>
        <w:tc>
          <w:tcPr>
            <w:tcW w:w="1465" w:type="dxa"/>
            <w:noWrap/>
            <w:hideMark/>
          </w:tcPr>
          <w:p w14:paraId="200BD265"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9,0 %</w:t>
            </w:r>
          </w:p>
        </w:tc>
        <w:tc>
          <w:tcPr>
            <w:tcW w:w="1466" w:type="dxa"/>
            <w:noWrap/>
            <w:hideMark/>
          </w:tcPr>
          <w:p w14:paraId="0093306E"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8,7 %</w:t>
            </w:r>
          </w:p>
        </w:tc>
        <w:tc>
          <w:tcPr>
            <w:tcW w:w="1466" w:type="dxa"/>
            <w:noWrap/>
            <w:hideMark/>
          </w:tcPr>
          <w:p w14:paraId="29B5A73B"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8,6 %</w:t>
            </w:r>
          </w:p>
        </w:tc>
        <w:tc>
          <w:tcPr>
            <w:tcW w:w="1466" w:type="dxa"/>
            <w:noWrap/>
            <w:hideMark/>
          </w:tcPr>
          <w:p w14:paraId="38DD4FE9"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8,7 %</w:t>
            </w:r>
          </w:p>
        </w:tc>
        <w:tc>
          <w:tcPr>
            <w:tcW w:w="1466" w:type="dxa"/>
            <w:noWrap/>
            <w:hideMark/>
          </w:tcPr>
          <w:p w14:paraId="1D4F7BF2"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8,8 %</w:t>
            </w:r>
          </w:p>
        </w:tc>
      </w:tr>
      <w:tr w:rsidR="00AA61FD" w:rsidRPr="00D9281A" w14:paraId="0710C8D8" w14:textId="77777777" w:rsidTr="00945B0D">
        <w:trPr>
          <w:trHeight w:val="642"/>
        </w:trPr>
        <w:tc>
          <w:tcPr>
            <w:cnfStyle w:val="001000000000" w:firstRow="0" w:lastRow="0" w:firstColumn="1" w:lastColumn="0" w:oddVBand="0" w:evenVBand="0" w:oddHBand="0" w:evenHBand="0" w:firstRowFirstColumn="0" w:firstRowLastColumn="0" w:lastRowFirstColumn="0" w:lastRowLastColumn="0"/>
            <w:tcW w:w="1852" w:type="dxa"/>
            <w:noWrap/>
            <w:hideMark/>
          </w:tcPr>
          <w:p w14:paraId="3752F5AA" w14:textId="77777777" w:rsidR="00AA61FD" w:rsidRPr="00D9281A" w:rsidRDefault="00AA61FD" w:rsidP="00945B0D">
            <w:pPr>
              <w:rPr>
                <w:sz w:val="16"/>
                <w:szCs w:val="16"/>
              </w:rPr>
            </w:pPr>
            <w:r w:rsidRPr="00D9281A">
              <w:rPr>
                <w:sz w:val="16"/>
                <w:szCs w:val="16"/>
              </w:rPr>
              <w:t>100-249 sysselsatte</w:t>
            </w:r>
          </w:p>
        </w:tc>
        <w:tc>
          <w:tcPr>
            <w:tcW w:w="1465" w:type="dxa"/>
            <w:noWrap/>
            <w:hideMark/>
          </w:tcPr>
          <w:p w14:paraId="04A74A09" w14:textId="77777777" w:rsidR="00AA61FD" w:rsidRPr="00D9281A" w:rsidRDefault="00AA61FD" w:rsidP="00945B0D">
            <w:pP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12,2 %</w:t>
            </w:r>
          </w:p>
        </w:tc>
        <w:tc>
          <w:tcPr>
            <w:tcW w:w="1466" w:type="dxa"/>
            <w:noWrap/>
            <w:hideMark/>
          </w:tcPr>
          <w:p w14:paraId="20CFF57E" w14:textId="77777777" w:rsidR="00AA61FD" w:rsidRPr="00D9281A" w:rsidRDefault="00AA61FD" w:rsidP="00945B0D">
            <w:pP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12,4 %</w:t>
            </w:r>
          </w:p>
        </w:tc>
        <w:tc>
          <w:tcPr>
            <w:tcW w:w="1466" w:type="dxa"/>
            <w:noWrap/>
            <w:hideMark/>
          </w:tcPr>
          <w:p w14:paraId="65099B6B" w14:textId="77777777" w:rsidR="00AA61FD" w:rsidRPr="00D9281A" w:rsidRDefault="00AA61FD" w:rsidP="00945B0D">
            <w:pP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13,4 %</w:t>
            </w:r>
          </w:p>
        </w:tc>
        <w:tc>
          <w:tcPr>
            <w:tcW w:w="1466" w:type="dxa"/>
            <w:noWrap/>
            <w:hideMark/>
          </w:tcPr>
          <w:p w14:paraId="3C9C3E00" w14:textId="77777777" w:rsidR="00AA61FD" w:rsidRPr="00D9281A" w:rsidRDefault="00AA61FD" w:rsidP="00945B0D">
            <w:pP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13,0 %</w:t>
            </w:r>
          </w:p>
        </w:tc>
        <w:tc>
          <w:tcPr>
            <w:tcW w:w="1466" w:type="dxa"/>
            <w:noWrap/>
            <w:hideMark/>
          </w:tcPr>
          <w:p w14:paraId="51034F94" w14:textId="77777777" w:rsidR="00AA61FD" w:rsidRPr="00D9281A" w:rsidRDefault="00AA61FD" w:rsidP="00945B0D">
            <w:pPr>
              <w:cnfStyle w:val="000000000000" w:firstRow="0" w:lastRow="0" w:firstColumn="0" w:lastColumn="0" w:oddVBand="0" w:evenVBand="0" w:oddHBand="0" w:evenHBand="0" w:firstRowFirstColumn="0" w:firstRowLastColumn="0" w:lastRowFirstColumn="0" w:lastRowLastColumn="0"/>
              <w:rPr>
                <w:sz w:val="16"/>
                <w:szCs w:val="16"/>
              </w:rPr>
            </w:pPr>
            <w:r w:rsidRPr="00D9281A">
              <w:rPr>
                <w:sz w:val="16"/>
                <w:szCs w:val="16"/>
              </w:rPr>
              <w:t>12,9 %</w:t>
            </w:r>
          </w:p>
        </w:tc>
      </w:tr>
      <w:tr w:rsidR="00AA61FD" w:rsidRPr="00D9281A" w14:paraId="6E07A882" w14:textId="77777777" w:rsidTr="00945B0D">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852" w:type="dxa"/>
            <w:noWrap/>
            <w:hideMark/>
          </w:tcPr>
          <w:p w14:paraId="29F5C569" w14:textId="77777777" w:rsidR="00AA61FD" w:rsidRPr="00D9281A" w:rsidRDefault="00AA61FD" w:rsidP="00945B0D">
            <w:pPr>
              <w:rPr>
                <w:sz w:val="16"/>
                <w:szCs w:val="16"/>
              </w:rPr>
            </w:pPr>
            <w:r w:rsidRPr="00D9281A">
              <w:rPr>
                <w:sz w:val="16"/>
                <w:szCs w:val="16"/>
              </w:rPr>
              <w:t>250 sysselsatte og over</w:t>
            </w:r>
          </w:p>
        </w:tc>
        <w:tc>
          <w:tcPr>
            <w:tcW w:w="1465" w:type="dxa"/>
            <w:noWrap/>
            <w:hideMark/>
          </w:tcPr>
          <w:p w14:paraId="54A316CC"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43,4 %</w:t>
            </w:r>
          </w:p>
        </w:tc>
        <w:tc>
          <w:tcPr>
            <w:tcW w:w="1466" w:type="dxa"/>
            <w:noWrap/>
            <w:hideMark/>
          </w:tcPr>
          <w:p w14:paraId="0FAE7F28"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42,5 %</w:t>
            </w:r>
          </w:p>
        </w:tc>
        <w:tc>
          <w:tcPr>
            <w:tcW w:w="1466" w:type="dxa"/>
            <w:noWrap/>
            <w:hideMark/>
          </w:tcPr>
          <w:p w14:paraId="3450DC5A"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39,5 %</w:t>
            </w:r>
          </w:p>
        </w:tc>
        <w:tc>
          <w:tcPr>
            <w:tcW w:w="1466" w:type="dxa"/>
            <w:noWrap/>
            <w:hideMark/>
          </w:tcPr>
          <w:p w14:paraId="1D2232BA"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40,8 %</w:t>
            </w:r>
          </w:p>
        </w:tc>
        <w:tc>
          <w:tcPr>
            <w:tcW w:w="1466" w:type="dxa"/>
            <w:noWrap/>
            <w:hideMark/>
          </w:tcPr>
          <w:p w14:paraId="4400CEBB" w14:textId="77777777" w:rsidR="00AA61FD" w:rsidRPr="00D9281A" w:rsidRDefault="00AA61FD" w:rsidP="00945B0D">
            <w:pPr>
              <w:cnfStyle w:val="000000100000" w:firstRow="0" w:lastRow="0" w:firstColumn="0" w:lastColumn="0" w:oddVBand="0" w:evenVBand="0" w:oddHBand="1" w:evenHBand="0" w:firstRowFirstColumn="0" w:firstRowLastColumn="0" w:lastRowFirstColumn="0" w:lastRowLastColumn="0"/>
              <w:rPr>
                <w:sz w:val="16"/>
                <w:szCs w:val="16"/>
              </w:rPr>
            </w:pPr>
            <w:r w:rsidRPr="00D9281A">
              <w:rPr>
                <w:sz w:val="16"/>
                <w:szCs w:val="16"/>
              </w:rPr>
              <w:t>42,5 %</w:t>
            </w:r>
          </w:p>
        </w:tc>
      </w:tr>
    </w:tbl>
    <w:p w14:paraId="36D8757E" w14:textId="77777777" w:rsidR="00AA61FD" w:rsidRDefault="00AA61FD" w:rsidP="00AA61FD">
      <w:pPr>
        <w:rPr>
          <w:sz w:val="16"/>
          <w:szCs w:val="16"/>
        </w:rPr>
      </w:pPr>
      <w:r w:rsidRPr="00660761">
        <w:rPr>
          <w:sz w:val="16"/>
          <w:szCs w:val="16"/>
        </w:rPr>
        <w:t>Kilde: SSB</w:t>
      </w:r>
    </w:p>
    <w:p w14:paraId="29203CC4" w14:textId="77777777" w:rsidR="00AA61FD" w:rsidRDefault="00AA61FD" w:rsidP="00AA61FD">
      <w:pPr>
        <w:rPr>
          <w:sz w:val="16"/>
          <w:szCs w:val="16"/>
        </w:rPr>
      </w:pPr>
    </w:p>
    <w:p w14:paraId="6E43842B" w14:textId="77777777" w:rsidR="00AA2EAB" w:rsidRDefault="00AA61FD" w:rsidP="00AA61FD">
      <w:pPr>
        <w:pStyle w:val="Bildetekst"/>
        <w:keepNext/>
        <w:rPr>
          <w:sz w:val="20"/>
          <w:szCs w:val="22"/>
        </w:rPr>
      </w:pPr>
      <w:r>
        <w:br/>
      </w:r>
      <w:r>
        <w:br/>
      </w:r>
      <w:r>
        <w:br/>
      </w:r>
      <w:r>
        <w:br/>
      </w:r>
      <w:r>
        <w:br/>
      </w:r>
      <w:r>
        <w:br/>
      </w:r>
      <w:r>
        <w:br/>
      </w:r>
      <w:r>
        <w:br/>
      </w:r>
      <w:r>
        <w:br/>
      </w:r>
      <w:r>
        <w:br/>
      </w:r>
      <w:r>
        <w:br/>
      </w:r>
      <w:r>
        <w:br/>
      </w:r>
      <w:r>
        <w:br/>
      </w:r>
      <w:r>
        <w:br/>
      </w:r>
      <w:r>
        <w:br/>
      </w:r>
      <w:r>
        <w:br/>
      </w:r>
      <w:r>
        <w:br/>
      </w:r>
      <w:r>
        <w:br/>
      </w:r>
      <w:r>
        <w:br/>
      </w:r>
      <w:r>
        <w:br/>
      </w:r>
      <w:r>
        <w:br/>
      </w:r>
      <w:r>
        <w:br/>
      </w:r>
      <w:r>
        <w:br/>
      </w:r>
      <w:r>
        <w:br/>
      </w:r>
      <w:r>
        <w:br/>
      </w:r>
      <w:r w:rsidRPr="009A0374">
        <w:rPr>
          <w:sz w:val="20"/>
          <w:szCs w:val="22"/>
        </w:rPr>
        <w:br/>
      </w:r>
    </w:p>
    <w:p w14:paraId="3B84A0E2" w14:textId="77777777" w:rsidR="00AA2EAB" w:rsidRDefault="00AA2EAB">
      <w:pPr>
        <w:spacing w:after="160" w:line="259" w:lineRule="auto"/>
        <w:rPr>
          <w:b/>
          <w:iCs/>
          <w:sz w:val="20"/>
        </w:rPr>
      </w:pPr>
      <w:r>
        <w:rPr>
          <w:sz w:val="20"/>
        </w:rPr>
        <w:br w:type="page"/>
      </w:r>
    </w:p>
    <w:p w14:paraId="22F90797" w14:textId="77777777" w:rsidR="00E93605" w:rsidRDefault="00E93605" w:rsidP="00AA61FD">
      <w:pPr>
        <w:pStyle w:val="Bildetekst"/>
        <w:keepNext/>
        <w:rPr>
          <w:sz w:val="20"/>
          <w:szCs w:val="22"/>
        </w:rPr>
      </w:pPr>
    </w:p>
    <w:p w14:paraId="54C7E473" w14:textId="33280FF5" w:rsidR="00AA61FD" w:rsidRDefault="00AA61FD" w:rsidP="00AA61FD">
      <w:pPr>
        <w:pStyle w:val="Bildetekst"/>
        <w:keepNext/>
      </w:pPr>
      <w:r w:rsidRPr="009A0374">
        <w:rPr>
          <w:sz w:val="20"/>
          <w:szCs w:val="22"/>
        </w:rPr>
        <w:t>Fordeling av virksomheter i norske næringer, 2020. Inndelt etter størrelsesgruppe.</w:t>
      </w:r>
    </w:p>
    <w:tbl>
      <w:tblPr>
        <w:tblStyle w:val="Rutenettabell5mrkuthevingsfarge1"/>
        <w:tblW w:w="9209" w:type="dxa"/>
        <w:tblLayout w:type="fixed"/>
        <w:tblLook w:val="04A0" w:firstRow="1" w:lastRow="0" w:firstColumn="1" w:lastColumn="0" w:noHBand="0" w:noVBand="1"/>
      </w:tblPr>
      <w:tblGrid>
        <w:gridCol w:w="1555"/>
        <w:gridCol w:w="850"/>
        <w:gridCol w:w="851"/>
        <w:gridCol w:w="850"/>
        <w:gridCol w:w="851"/>
        <w:gridCol w:w="850"/>
        <w:gridCol w:w="851"/>
        <w:gridCol w:w="850"/>
        <w:gridCol w:w="851"/>
        <w:gridCol w:w="850"/>
      </w:tblGrid>
      <w:tr w:rsidR="00AA61FD" w:rsidRPr="00E13D45" w14:paraId="3CDC70AB" w14:textId="77777777" w:rsidTr="00945B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393E0ED" w14:textId="77777777" w:rsidR="00AA61FD" w:rsidRPr="00E13D45" w:rsidRDefault="00AA61FD" w:rsidP="00945B0D">
            <w:pPr>
              <w:spacing w:line="240" w:lineRule="auto"/>
              <w:jc w:val="center"/>
              <w:rPr>
                <w:rFonts w:eastAsia="Times New Roman" w:cs="Times New Roman"/>
                <w:sz w:val="16"/>
                <w:szCs w:val="16"/>
                <w:lang w:eastAsia="nb-NO"/>
              </w:rPr>
            </w:pPr>
          </w:p>
        </w:tc>
        <w:tc>
          <w:tcPr>
            <w:tcW w:w="850" w:type="dxa"/>
            <w:noWrap/>
            <w:hideMark/>
          </w:tcPr>
          <w:p w14:paraId="2B28B313" w14:textId="77777777" w:rsidR="00AA61FD" w:rsidRPr="00E13D45" w:rsidRDefault="00AA61FD" w:rsidP="00945B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nb-NO"/>
              </w:rPr>
            </w:pPr>
            <w:r w:rsidRPr="00E13D45">
              <w:rPr>
                <w:rFonts w:eastAsia="Times New Roman" w:cs="Times New Roman"/>
                <w:sz w:val="16"/>
                <w:szCs w:val="16"/>
                <w:lang w:eastAsia="nb-NO"/>
              </w:rPr>
              <w:t>Ingen ansatte</w:t>
            </w:r>
          </w:p>
        </w:tc>
        <w:tc>
          <w:tcPr>
            <w:tcW w:w="851" w:type="dxa"/>
            <w:noWrap/>
            <w:hideMark/>
          </w:tcPr>
          <w:p w14:paraId="536AA49C" w14:textId="77777777" w:rsidR="00AA61FD" w:rsidRPr="00E13D45" w:rsidRDefault="00AA61FD" w:rsidP="00945B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nb-NO"/>
              </w:rPr>
            </w:pPr>
            <w:r w:rsidRPr="00E13D45">
              <w:rPr>
                <w:rFonts w:eastAsia="Times New Roman" w:cs="Times New Roman"/>
                <w:sz w:val="16"/>
                <w:szCs w:val="16"/>
                <w:lang w:eastAsia="nb-NO"/>
              </w:rPr>
              <w:t>1-4 ansatte</w:t>
            </w:r>
          </w:p>
        </w:tc>
        <w:tc>
          <w:tcPr>
            <w:tcW w:w="850" w:type="dxa"/>
            <w:noWrap/>
            <w:hideMark/>
          </w:tcPr>
          <w:p w14:paraId="3D39E42A" w14:textId="77777777" w:rsidR="00AA61FD" w:rsidRPr="00E13D45" w:rsidRDefault="00AA61FD" w:rsidP="00945B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nb-NO"/>
              </w:rPr>
            </w:pPr>
            <w:r w:rsidRPr="00E13D45">
              <w:rPr>
                <w:rFonts w:eastAsia="Times New Roman" w:cs="Times New Roman"/>
                <w:sz w:val="16"/>
                <w:szCs w:val="16"/>
                <w:lang w:eastAsia="nb-NO"/>
              </w:rPr>
              <w:t>5-9 ansatte</w:t>
            </w:r>
          </w:p>
        </w:tc>
        <w:tc>
          <w:tcPr>
            <w:tcW w:w="851" w:type="dxa"/>
            <w:noWrap/>
            <w:hideMark/>
          </w:tcPr>
          <w:p w14:paraId="70F303E2" w14:textId="77777777" w:rsidR="00AA61FD" w:rsidRPr="00E13D45" w:rsidRDefault="00AA61FD" w:rsidP="00945B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nb-NO"/>
              </w:rPr>
            </w:pPr>
            <w:r w:rsidRPr="00E13D45">
              <w:rPr>
                <w:rFonts w:eastAsia="Times New Roman" w:cs="Times New Roman"/>
                <w:sz w:val="16"/>
                <w:szCs w:val="16"/>
                <w:lang w:eastAsia="nb-NO"/>
              </w:rPr>
              <w:t>10-19 ansatte</w:t>
            </w:r>
          </w:p>
        </w:tc>
        <w:tc>
          <w:tcPr>
            <w:tcW w:w="850" w:type="dxa"/>
            <w:noWrap/>
            <w:hideMark/>
          </w:tcPr>
          <w:p w14:paraId="35E8F322" w14:textId="77777777" w:rsidR="00AA61FD" w:rsidRPr="00E13D45" w:rsidRDefault="00AA61FD" w:rsidP="00945B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nb-NO"/>
              </w:rPr>
            </w:pPr>
            <w:r w:rsidRPr="00E13D45">
              <w:rPr>
                <w:rFonts w:eastAsia="Times New Roman" w:cs="Times New Roman"/>
                <w:sz w:val="16"/>
                <w:szCs w:val="16"/>
                <w:lang w:eastAsia="nb-NO"/>
              </w:rPr>
              <w:t>20-49 ansatte</w:t>
            </w:r>
          </w:p>
        </w:tc>
        <w:tc>
          <w:tcPr>
            <w:tcW w:w="851" w:type="dxa"/>
            <w:noWrap/>
            <w:hideMark/>
          </w:tcPr>
          <w:p w14:paraId="44C426E8" w14:textId="77777777" w:rsidR="00AA61FD" w:rsidRPr="00E13D45" w:rsidRDefault="00AA61FD" w:rsidP="00945B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nb-NO"/>
              </w:rPr>
            </w:pPr>
            <w:r w:rsidRPr="00E13D45">
              <w:rPr>
                <w:rFonts w:eastAsia="Times New Roman" w:cs="Times New Roman"/>
                <w:sz w:val="16"/>
                <w:szCs w:val="16"/>
                <w:lang w:eastAsia="nb-NO"/>
              </w:rPr>
              <w:t>50-99 ansatte</w:t>
            </w:r>
          </w:p>
        </w:tc>
        <w:tc>
          <w:tcPr>
            <w:tcW w:w="850" w:type="dxa"/>
            <w:noWrap/>
            <w:hideMark/>
          </w:tcPr>
          <w:p w14:paraId="34157E07" w14:textId="77777777" w:rsidR="00AA61FD" w:rsidRPr="00E13D45" w:rsidRDefault="00AA61FD" w:rsidP="00945B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nb-NO"/>
              </w:rPr>
            </w:pPr>
            <w:r w:rsidRPr="00E13D45">
              <w:rPr>
                <w:rFonts w:eastAsia="Times New Roman" w:cs="Times New Roman"/>
                <w:sz w:val="16"/>
                <w:szCs w:val="16"/>
                <w:lang w:eastAsia="nb-NO"/>
              </w:rPr>
              <w:t>100 - 249 ansatte</w:t>
            </w:r>
          </w:p>
        </w:tc>
        <w:tc>
          <w:tcPr>
            <w:tcW w:w="851" w:type="dxa"/>
            <w:noWrap/>
            <w:hideMark/>
          </w:tcPr>
          <w:p w14:paraId="3790B407" w14:textId="77777777" w:rsidR="00AA61FD" w:rsidRPr="00E13D45" w:rsidRDefault="00AA61FD" w:rsidP="00945B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nb-NO"/>
              </w:rPr>
            </w:pPr>
            <w:r w:rsidRPr="00E13D45">
              <w:rPr>
                <w:rFonts w:eastAsia="Times New Roman" w:cs="Times New Roman"/>
                <w:sz w:val="16"/>
                <w:szCs w:val="16"/>
                <w:lang w:eastAsia="nb-NO"/>
              </w:rPr>
              <w:t>250 ansatte og over</w:t>
            </w:r>
          </w:p>
        </w:tc>
        <w:tc>
          <w:tcPr>
            <w:tcW w:w="850" w:type="dxa"/>
            <w:noWrap/>
            <w:hideMark/>
          </w:tcPr>
          <w:p w14:paraId="45573015" w14:textId="77777777" w:rsidR="00AA61FD" w:rsidRPr="00E13D45" w:rsidRDefault="00AA61FD" w:rsidP="00945B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nb-NO"/>
              </w:rPr>
            </w:pPr>
            <w:proofErr w:type="spellStart"/>
            <w:r w:rsidRPr="00E13D45">
              <w:rPr>
                <w:rFonts w:eastAsia="Times New Roman" w:cs="Times New Roman"/>
                <w:sz w:val="16"/>
                <w:szCs w:val="16"/>
                <w:lang w:eastAsia="nb-NO"/>
              </w:rPr>
              <w:t>Virkso</w:t>
            </w:r>
            <w:r>
              <w:rPr>
                <w:rFonts w:eastAsia="Times New Roman" w:cs="Times New Roman"/>
                <w:sz w:val="16"/>
                <w:szCs w:val="16"/>
                <w:lang w:eastAsia="nb-NO"/>
              </w:rPr>
              <w:t>m</w:t>
            </w:r>
            <w:r w:rsidRPr="00E13D45">
              <w:rPr>
                <w:rFonts w:eastAsia="Times New Roman" w:cs="Times New Roman"/>
                <w:sz w:val="16"/>
                <w:szCs w:val="16"/>
                <w:lang w:eastAsia="nb-NO"/>
              </w:rPr>
              <w:t>mheter</w:t>
            </w:r>
            <w:proofErr w:type="spellEnd"/>
            <w:r w:rsidRPr="00E13D45">
              <w:rPr>
                <w:rFonts w:eastAsia="Times New Roman" w:cs="Times New Roman"/>
                <w:sz w:val="16"/>
                <w:szCs w:val="16"/>
                <w:lang w:eastAsia="nb-NO"/>
              </w:rPr>
              <w:t xml:space="preserve"> i alt</w:t>
            </w:r>
          </w:p>
        </w:tc>
      </w:tr>
      <w:tr w:rsidR="00AA61FD" w:rsidRPr="00E13D45" w14:paraId="1B97A2C6" w14:textId="77777777" w:rsidTr="00945B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FDB1E32"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Jordbruk, skogbruk og fiske</w:t>
            </w:r>
          </w:p>
        </w:tc>
        <w:tc>
          <w:tcPr>
            <w:tcW w:w="850" w:type="dxa"/>
            <w:noWrap/>
            <w:hideMark/>
          </w:tcPr>
          <w:p w14:paraId="44224858"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58 564</w:t>
            </w:r>
          </w:p>
        </w:tc>
        <w:tc>
          <w:tcPr>
            <w:tcW w:w="851" w:type="dxa"/>
            <w:noWrap/>
            <w:hideMark/>
          </w:tcPr>
          <w:p w14:paraId="723E2C43"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5 963</w:t>
            </w:r>
          </w:p>
        </w:tc>
        <w:tc>
          <w:tcPr>
            <w:tcW w:w="850" w:type="dxa"/>
            <w:noWrap/>
            <w:hideMark/>
          </w:tcPr>
          <w:p w14:paraId="5634ED71"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681</w:t>
            </w:r>
          </w:p>
        </w:tc>
        <w:tc>
          <w:tcPr>
            <w:tcW w:w="851" w:type="dxa"/>
            <w:noWrap/>
            <w:hideMark/>
          </w:tcPr>
          <w:p w14:paraId="4785DF7E"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420</w:t>
            </w:r>
          </w:p>
        </w:tc>
        <w:tc>
          <w:tcPr>
            <w:tcW w:w="850" w:type="dxa"/>
            <w:noWrap/>
            <w:hideMark/>
          </w:tcPr>
          <w:p w14:paraId="75DBBDA3"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201</w:t>
            </w:r>
          </w:p>
        </w:tc>
        <w:tc>
          <w:tcPr>
            <w:tcW w:w="851" w:type="dxa"/>
            <w:noWrap/>
            <w:hideMark/>
          </w:tcPr>
          <w:p w14:paraId="0A070064"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47</w:t>
            </w:r>
          </w:p>
        </w:tc>
        <w:tc>
          <w:tcPr>
            <w:tcW w:w="850" w:type="dxa"/>
            <w:noWrap/>
            <w:hideMark/>
          </w:tcPr>
          <w:p w14:paraId="49A6BEA4"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10</w:t>
            </w:r>
          </w:p>
        </w:tc>
        <w:tc>
          <w:tcPr>
            <w:tcW w:w="851" w:type="dxa"/>
            <w:noWrap/>
            <w:hideMark/>
          </w:tcPr>
          <w:p w14:paraId="1CEC69E7"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0" w:type="dxa"/>
            <w:noWrap/>
            <w:hideMark/>
          </w:tcPr>
          <w:p w14:paraId="34A791F8"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65 886</w:t>
            </w:r>
          </w:p>
        </w:tc>
      </w:tr>
      <w:tr w:rsidR="00AA61FD" w:rsidRPr="00E13D45" w14:paraId="6A3D6A3D" w14:textId="77777777" w:rsidTr="00945B0D">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34C4AF1"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Bergverksdrift og utvinning</w:t>
            </w:r>
          </w:p>
        </w:tc>
        <w:tc>
          <w:tcPr>
            <w:tcW w:w="850" w:type="dxa"/>
            <w:noWrap/>
            <w:hideMark/>
          </w:tcPr>
          <w:p w14:paraId="40E3BE31"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898</w:t>
            </w:r>
          </w:p>
        </w:tc>
        <w:tc>
          <w:tcPr>
            <w:tcW w:w="851" w:type="dxa"/>
            <w:noWrap/>
            <w:hideMark/>
          </w:tcPr>
          <w:p w14:paraId="7C0431F1"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257</w:t>
            </w:r>
          </w:p>
        </w:tc>
        <w:tc>
          <w:tcPr>
            <w:tcW w:w="850" w:type="dxa"/>
            <w:noWrap/>
            <w:hideMark/>
          </w:tcPr>
          <w:p w14:paraId="47FCEA14"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124</w:t>
            </w:r>
          </w:p>
        </w:tc>
        <w:tc>
          <w:tcPr>
            <w:tcW w:w="851" w:type="dxa"/>
            <w:noWrap/>
            <w:hideMark/>
          </w:tcPr>
          <w:p w14:paraId="4CACE119"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117</w:t>
            </w:r>
          </w:p>
        </w:tc>
        <w:tc>
          <w:tcPr>
            <w:tcW w:w="850" w:type="dxa"/>
            <w:noWrap/>
            <w:hideMark/>
          </w:tcPr>
          <w:p w14:paraId="1F446223"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99</w:t>
            </w:r>
          </w:p>
        </w:tc>
        <w:tc>
          <w:tcPr>
            <w:tcW w:w="851" w:type="dxa"/>
            <w:noWrap/>
            <w:hideMark/>
          </w:tcPr>
          <w:p w14:paraId="1D759B54"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45</w:t>
            </w:r>
          </w:p>
        </w:tc>
        <w:tc>
          <w:tcPr>
            <w:tcW w:w="850" w:type="dxa"/>
            <w:noWrap/>
            <w:hideMark/>
          </w:tcPr>
          <w:p w14:paraId="43D4AB59"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44</w:t>
            </w:r>
          </w:p>
        </w:tc>
        <w:tc>
          <w:tcPr>
            <w:tcW w:w="851" w:type="dxa"/>
            <w:noWrap/>
            <w:hideMark/>
          </w:tcPr>
          <w:p w14:paraId="50BE5A42"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52</w:t>
            </w:r>
          </w:p>
        </w:tc>
        <w:tc>
          <w:tcPr>
            <w:tcW w:w="850" w:type="dxa"/>
            <w:noWrap/>
            <w:hideMark/>
          </w:tcPr>
          <w:p w14:paraId="31998984"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1 636</w:t>
            </w:r>
          </w:p>
        </w:tc>
      </w:tr>
      <w:tr w:rsidR="00AA61FD" w:rsidRPr="00E13D45" w14:paraId="1D852C4A" w14:textId="77777777" w:rsidTr="00945B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1218578"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Industri</w:t>
            </w:r>
          </w:p>
        </w:tc>
        <w:tc>
          <w:tcPr>
            <w:tcW w:w="850" w:type="dxa"/>
            <w:noWrap/>
            <w:hideMark/>
          </w:tcPr>
          <w:p w14:paraId="0E0A283C"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11 983</w:t>
            </w:r>
          </w:p>
        </w:tc>
        <w:tc>
          <w:tcPr>
            <w:tcW w:w="851" w:type="dxa"/>
            <w:noWrap/>
            <w:hideMark/>
          </w:tcPr>
          <w:p w14:paraId="36B63EE5"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3 846</w:t>
            </w:r>
          </w:p>
        </w:tc>
        <w:tc>
          <w:tcPr>
            <w:tcW w:w="850" w:type="dxa"/>
            <w:noWrap/>
            <w:hideMark/>
          </w:tcPr>
          <w:p w14:paraId="08979A68"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1 860</w:t>
            </w:r>
          </w:p>
        </w:tc>
        <w:tc>
          <w:tcPr>
            <w:tcW w:w="851" w:type="dxa"/>
            <w:noWrap/>
            <w:hideMark/>
          </w:tcPr>
          <w:p w14:paraId="3B0B38A3"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1 661</w:t>
            </w:r>
          </w:p>
        </w:tc>
        <w:tc>
          <w:tcPr>
            <w:tcW w:w="850" w:type="dxa"/>
            <w:noWrap/>
            <w:hideMark/>
          </w:tcPr>
          <w:p w14:paraId="3888892D"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1 345</w:t>
            </w:r>
          </w:p>
        </w:tc>
        <w:tc>
          <w:tcPr>
            <w:tcW w:w="851" w:type="dxa"/>
            <w:noWrap/>
            <w:hideMark/>
          </w:tcPr>
          <w:p w14:paraId="69035385"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545</w:t>
            </w:r>
          </w:p>
        </w:tc>
        <w:tc>
          <w:tcPr>
            <w:tcW w:w="850" w:type="dxa"/>
            <w:noWrap/>
            <w:hideMark/>
          </w:tcPr>
          <w:p w14:paraId="3FA7FCCB"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315</w:t>
            </w:r>
          </w:p>
        </w:tc>
        <w:tc>
          <w:tcPr>
            <w:tcW w:w="851" w:type="dxa"/>
            <w:noWrap/>
            <w:hideMark/>
          </w:tcPr>
          <w:p w14:paraId="2A99CBAB"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105</w:t>
            </w:r>
          </w:p>
        </w:tc>
        <w:tc>
          <w:tcPr>
            <w:tcW w:w="850" w:type="dxa"/>
            <w:noWrap/>
            <w:hideMark/>
          </w:tcPr>
          <w:p w14:paraId="69272361"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21 660</w:t>
            </w:r>
          </w:p>
        </w:tc>
      </w:tr>
      <w:tr w:rsidR="00AA61FD" w:rsidRPr="00E13D45" w14:paraId="16ACD342" w14:textId="77777777" w:rsidTr="00945B0D">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900C384"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Kraftforsyning</w:t>
            </w:r>
          </w:p>
        </w:tc>
        <w:tc>
          <w:tcPr>
            <w:tcW w:w="850" w:type="dxa"/>
            <w:noWrap/>
            <w:hideMark/>
          </w:tcPr>
          <w:p w14:paraId="4D594E02"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1 080</w:t>
            </w:r>
          </w:p>
        </w:tc>
        <w:tc>
          <w:tcPr>
            <w:tcW w:w="851" w:type="dxa"/>
            <w:noWrap/>
            <w:hideMark/>
          </w:tcPr>
          <w:p w14:paraId="76127F43"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302</w:t>
            </w:r>
          </w:p>
        </w:tc>
        <w:tc>
          <w:tcPr>
            <w:tcW w:w="850" w:type="dxa"/>
            <w:noWrap/>
            <w:hideMark/>
          </w:tcPr>
          <w:p w14:paraId="3EA913B1"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153</w:t>
            </w:r>
          </w:p>
        </w:tc>
        <w:tc>
          <w:tcPr>
            <w:tcW w:w="851" w:type="dxa"/>
            <w:noWrap/>
            <w:hideMark/>
          </w:tcPr>
          <w:p w14:paraId="77654BEF"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138</w:t>
            </w:r>
          </w:p>
        </w:tc>
        <w:tc>
          <w:tcPr>
            <w:tcW w:w="850" w:type="dxa"/>
            <w:noWrap/>
            <w:hideMark/>
          </w:tcPr>
          <w:p w14:paraId="041EF97A"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142</w:t>
            </w:r>
          </w:p>
        </w:tc>
        <w:tc>
          <w:tcPr>
            <w:tcW w:w="851" w:type="dxa"/>
            <w:noWrap/>
            <w:hideMark/>
          </w:tcPr>
          <w:p w14:paraId="3355754B"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42</w:t>
            </w:r>
          </w:p>
        </w:tc>
        <w:tc>
          <w:tcPr>
            <w:tcW w:w="850" w:type="dxa"/>
            <w:noWrap/>
            <w:hideMark/>
          </w:tcPr>
          <w:p w14:paraId="70818C05"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19</w:t>
            </w:r>
          </w:p>
        </w:tc>
        <w:tc>
          <w:tcPr>
            <w:tcW w:w="851" w:type="dxa"/>
            <w:noWrap/>
            <w:hideMark/>
          </w:tcPr>
          <w:p w14:paraId="34E58A7D"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6</w:t>
            </w:r>
          </w:p>
        </w:tc>
        <w:tc>
          <w:tcPr>
            <w:tcW w:w="850" w:type="dxa"/>
            <w:noWrap/>
            <w:hideMark/>
          </w:tcPr>
          <w:p w14:paraId="64FE9BD3"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1 882</w:t>
            </w:r>
          </w:p>
        </w:tc>
      </w:tr>
      <w:tr w:rsidR="00AA61FD" w:rsidRPr="00E13D45" w14:paraId="5B020CF8" w14:textId="77777777" w:rsidTr="00945B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F314A23"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Vannforsyning, avløp og renovasjon</w:t>
            </w:r>
          </w:p>
        </w:tc>
        <w:tc>
          <w:tcPr>
            <w:tcW w:w="850" w:type="dxa"/>
            <w:noWrap/>
            <w:hideMark/>
          </w:tcPr>
          <w:p w14:paraId="20F625A4"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1 196</w:t>
            </w:r>
          </w:p>
        </w:tc>
        <w:tc>
          <w:tcPr>
            <w:tcW w:w="851" w:type="dxa"/>
            <w:noWrap/>
            <w:hideMark/>
          </w:tcPr>
          <w:p w14:paraId="1E0EC10C"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359</w:t>
            </w:r>
          </w:p>
        </w:tc>
        <w:tc>
          <w:tcPr>
            <w:tcW w:w="850" w:type="dxa"/>
            <w:noWrap/>
            <w:hideMark/>
          </w:tcPr>
          <w:p w14:paraId="3710B33D"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265</w:t>
            </w:r>
          </w:p>
        </w:tc>
        <w:tc>
          <w:tcPr>
            <w:tcW w:w="851" w:type="dxa"/>
            <w:noWrap/>
            <w:hideMark/>
          </w:tcPr>
          <w:p w14:paraId="16B908C0"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236</w:t>
            </w:r>
          </w:p>
        </w:tc>
        <w:tc>
          <w:tcPr>
            <w:tcW w:w="850" w:type="dxa"/>
            <w:noWrap/>
            <w:hideMark/>
          </w:tcPr>
          <w:p w14:paraId="53915C34"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205</w:t>
            </w:r>
          </w:p>
        </w:tc>
        <w:tc>
          <w:tcPr>
            <w:tcW w:w="851" w:type="dxa"/>
            <w:noWrap/>
            <w:hideMark/>
          </w:tcPr>
          <w:p w14:paraId="0A8B2869"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46</w:t>
            </w:r>
          </w:p>
        </w:tc>
        <w:tc>
          <w:tcPr>
            <w:tcW w:w="850" w:type="dxa"/>
            <w:noWrap/>
            <w:hideMark/>
          </w:tcPr>
          <w:p w14:paraId="1799FEBE"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16</w:t>
            </w:r>
          </w:p>
        </w:tc>
        <w:tc>
          <w:tcPr>
            <w:tcW w:w="851" w:type="dxa"/>
            <w:noWrap/>
            <w:hideMark/>
          </w:tcPr>
          <w:p w14:paraId="09CE7427"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w:t>
            </w:r>
          </w:p>
        </w:tc>
        <w:tc>
          <w:tcPr>
            <w:tcW w:w="850" w:type="dxa"/>
            <w:noWrap/>
            <w:hideMark/>
          </w:tcPr>
          <w:p w14:paraId="504AA753"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2 324</w:t>
            </w:r>
          </w:p>
        </w:tc>
      </w:tr>
      <w:tr w:rsidR="00AA61FD" w:rsidRPr="00E13D45" w14:paraId="1224AF72" w14:textId="77777777" w:rsidTr="00945B0D">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8B85C8F"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Bygge- og anleggsvirksomhet</w:t>
            </w:r>
          </w:p>
        </w:tc>
        <w:tc>
          <w:tcPr>
            <w:tcW w:w="850" w:type="dxa"/>
            <w:noWrap/>
            <w:hideMark/>
          </w:tcPr>
          <w:p w14:paraId="53C3CB51"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44 112</w:t>
            </w:r>
          </w:p>
        </w:tc>
        <w:tc>
          <w:tcPr>
            <w:tcW w:w="851" w:type="dxa"/>
            <w:noWrap/>
            <w:hideMark/>
          </w:tcPr>
          <w:p w14:paraId="195BB586"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14 315</w:t>
            </w:r>
          </w:p>
        </w:tc>
        <w:tc>
          <w:tcPr>
            <w:tcW w:w="850" w:type="dxa"/>
            <w:noWrap/>
            <w:hideMark/>
          </w:tcPr>
          <w:p w14:paraId="6E4F9A03"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4 941</w:t>
            </w:r>
          </w:p>
        </w:tc>
        <w:tc>
          <w:tcPr>
            <w:tcW w:w="851" w:type="dxa"/>
            <w:noWrap/>
            <w:hideMark/>
          </w:tcPr>
          <w:p w14:paraId="7ED4581A"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3 355</w:t>
            </w:r>
          </w:p>
        </w:tc>
        <w:tc>
          <w:tcPr>
            <w:tcW w:w="850" w:type="dxa"/>
            <w:noWrap/>
            <w:hideMark/>
          </w:tcPr>
          <w:p w14:paraId="3344D6C1"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2 158</w:t>
            </w:r>
          </w:p>
        </w:tc>
        <w:tc>
          <w:tcPr>
            <w:tcW w:w="851" w:type="dxa"/>
            <w:noWrap/>
            <w:hideMark/>
          </w:tcPr>
          <w:p w14:paraId="72EF86F2"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509</w:t>
            </w:r>
          </w:p>
        </w:tc>
        <w:tc>
          <w:tcPr>
            <w:tcW w:w="850" w:type="dxa"/>
            <w:noWrap/>
            <w:hideMark/>
          </w:tcPr>
          <w:p w14:paraId="6A18F423"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182</w:t>
            </w:r>
          </w:p>
        </w:tc>
        <w:tc>
          <w:tcPr>
            <w:tcW w:w="851" w:type="dxa"/>
            <w:noWrap/>
            <w:hideMark/>
          </w:tcPr>
          <w:p w14:paraId="5A5AD73A"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35</w:t>
            </w:r>
          </w:p>
        </w:tc>
        <w:tc>
          <w:tcPr>
            <w:tcW w:w="850" w:type="dxa"/>
            <w:noWrap/>
            <w:hideMark/>
          </w:tcPr>
          <w:p w14:paraId="69FFB737"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69 607</w:t>
            </w:r>
          </w:p>
        </w:tc>
      </w:tr>
      <w:tr w:rsidR="00AA61FD" w:rsidRPr="00E13D45" w14:paraId="67B7F961" w14:textId="77777777" w:rsidTr="00945B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46B628F"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Varehandel, reparasjon av motorvogner</w:t>
            </w:r>
          </w:p>
        </w:tc>
        <w:tc>
          <w:tcPr>
            <w:tcW w:w="850" w:type="dxa"/>
            <w:noWrap/>
            <w:hideMark/>
          </w:tcPr>
          <w:p w14:paraId="46B0DFFD"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30 425</w:t>
            </w:r>
          </w:p>
        </w:tc>
        <w:tc>
          <w:tcPr>
            <w:tcW w:w="851" w:type="dxa"/>
            <w:noWrap/>
            <w:hideMark/>
          </w:tcPr>
          <w:p w14:paraId="0A8DD729"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16 361</w:t>
            </w:r>
          </w:p>
        </w:tc>
        <w:tc>
          <w:tcPr>
            <w:tcW w:w="850" w:type="dxa"/>
            <w:noWrap/>
            <w:hideMark/>
          </w:tcPr>
          <w:p w14:paraId="7E840919"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13 330</w:t>
            </w:r>
          </w:p>
        </w:tc>
        <w:tc>
          <w:tcPr>
            <w:tcW w:w="851" w:type="dxa"/>
            <w:noWrap/>
            <w:hideMark/>
          </w:tcPr>
          <w:p w14:paraId="2A5DEFAE"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8 165</w:t>
            </w:r>
          </w:p>
        </w:tc>
        <w:tc>
          <w:tcPr>
            <w:tcW w:w="850" w:type="dxa"/>
            <w:noWrap/>
            <w:hideMark/>
          </w:tcPr>
          <w:p w14:paraId="70C0B9C1"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2 793</w:t>
            </w:r>
          </w:p>
        </w:tc>
        <w:tc>
          <w:tcPr>
            <w:tcW w:w="851" w:type="dxa"/>
            <w:noWrap/>
            <w:hideMark/>
          </w:tcPr>
          <w:p w14:paraId="2CA30F42"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436</w:t>
            </w:r>
          </w:p>
        </w:tc>
        <w:tc>
          <w:tcPr>
            <w:tcW w:w="850" w:type="dxa"/>
            <w:noWrap/>
            <w:hideMark/>
          </w:tcPr>
          <w:p w14:paraId="068D316B"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129</w:t>
            </w:r>
          </w:p>
        </w:tc>
        <w:tc>
          <w:tcPr>
            <w:tcW w:w="851" w:type="dxa"/>
            <w:noWrap/>
            <w:hideMark/>
          </w:tcPr>
          <w:p w14:paraId="71AD928F"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30</w:t>
            </w:r>
          </w:p>
        </w:tc>
        <w:tc>
          <w:tcPr>
            <w:tcW w:w="850" w:type="dxa"/>
            <w:noWrap/>
            <w:hideMark/>
          </w:tcPr>
          <w:p w14:paraId="2ADC7D19"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71 669</w:t>
            </w:r>
          </w:p>
        </w:tc>
      </w:tr>
      <w:tr w:rsidR="00AA61FD" w:rsidRPr="00E13D45" w14:paraId="0831DE41" w14:textId="77777777" w:rsidTr="00945B0D">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7E6DB27"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Transport og lagring</w:t>
            </w:r>
          </w:p>
        </w:tc>
        <w:tc>
          <w:tcPr>
            <w:tcW w:w="850" w:type="dxa"/>
            <w:noWrap/>
            <w:hideMark/>
          </w:tcPr>
          <w:p w14:paraId="0E7223A3"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14 973</w:t>
            </w:r>
          </w:p>
        </w:tc>
        <w:tc>
          <w:tcPr>
            <w:tcW w:w="851" w:type="dxa"/>
            <w:noWrap/>
            <w:hideMark/>
          </w:tcPr>
          <w:p w14:paraId="4BCDEE18"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6 556</w:t>
            </w:r>
          </w:p>
        </w:tc>
        <w:tc>
          <w:tcPr>
            <w:tcW w:w="850" w:type="dxa"/>
            <w:noWrap/>
            <w:hideMark/>
          </w:tcPr>
          <w:p w14:paraId="3633EC4E"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1 832</w:t>
            </w:r>
          </w:p>
        </w:tc>
        <w:tc>
          <w:tcPr>
            <w:tcW w:w="851" w:type="dxa"/>
            <w:noWrap/>
            <w:hideMark/>
          </w:tcPr>
          <w:p w14:paraId="00FD4129"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1 151</w:t>
            </w:r>
          </w:p>
        </w:tc>
        <w:tc>
          <w:tcPr>
            <w:tcW w:w="850" w:type="dxa"/>
            <w:noWrap/>
            <w:hideMark/>
          </w:tcPr>
          <w:p w14:paraId="0EB966B0"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833</w:t>
            </w:r>
          </w:p>
        </w:tc>
        <w:tc>
          <w:tcPr>
            <w:tcW w:w="851" w:type="dxa"/>
            <w:noWrap/>
            <w:hideMark/>
          </w:tcPr>
          <w:p w14:paraId="79A52888"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301</w:t>
            </w:r>
          </w:p>
        </w:tc>
        <w:tc>
          <w:tcPr>
            <w:tcW w:w="850" w:type="dxa"/>
            <w:noWrap/>
            <w:hideMark/>
          </w:tcPr>
          <w:p w14:paraId="5010D065"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136</w:t>
            </w:r>
          </w:p>
        </w:tc>
        <w:tc>
          <w:tcPr>
            <w:tcW w:w="851" w:type="dxa"/>
            <w:noWrap/>
            <w:hideMark/>
          </w:tcPr>
          <w:p w14:paraId="301792FA"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67</w:t>
            </w:r>
          </w:p>
        </w:tc>
        <w:tc>
          <w:tcPr>
            <w:tcW w:w="850" w:type="dxa"/>
            <w:noWrap/>
            <w:hideMark/>
          </w:tcPr>
          <w:p w14:paraId="136E43F6"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25 849</w:t>
            </w:r>
          </w:p>
        </w:tc>
      </w:tr>
      <w:tr w:rsidR="00AA61FD" w:rsidRPr="00E13D45" w14:paraId="322D1AC2" w14:textId="77777777" w:rsidTr="00945B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C282BB1"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Overnattings- og serveringsvirksomhet</w:t>
            </w:r>
          </w:p>
        </w:tc>
        <w:tc>
          <w:tcPr>
            <w:tcW w:w="850" w:type="dxa"/>
            <w:noWrap/>
            <w:hideMark/>
          </w:tcPr>
          <w:p w14:paraId="2C211B77"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6 952</w:t>
            </w:r>
          </w:p>
        </w:tc>
        <w:tc>
          <w:tcPr>
            <w:tcW w:w="851" w:type="dxa"/>
            <w:noWrap/>
            <w:hideMark/>
          </w:tcPr>
          <w:p w14:paraId="0D2768F1"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3 815</w:t>
            </w:r>
          </w:p>
        </w:tc>
        <w:tc>
          <w:tcPr>
            <w:tcW w:w="850" w:type="dxa"/>
            <w:noWrap/>
            <w:hideMark/>
          </w:tcPr>
          <w:p w14:paraId="3BF1AEAE"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2 619</w:t>
            </w:r>
          </w:p>
        </w:tc>
        <w:tc>
          <w:tcPr>
            <w:tcW w:w="851" w:type="dxa"/>
            <w:noWrap/>
            <w:hideMark/>
          </w:tcPr>
          <w:p w14:paraId="41C72DD7"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2 173</w:t>
            </w:r>
          </w:p>
        </w:tc>
        <w:tc>
          <w:tcPr>
            <w:tcW w:w="850" w:type="dxa"/>
            <w:noWrap/>
            <w:hideMark/>
          </w:tcPr>
          <w:p w14:paraId="113668C6"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1 177</w:t>
            </w:r>
          </w:p>
        </w:tc>
        <w:tc>
          <w:tcPr>
            <w:tcW w:w="851" w:type="dxa"/>
            <w:noWrap/>
            <w:hideMark/>
          </w:tcPr>
          <w:p w14:paraId="6F5E3B55"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234</w:t>
            </w:r>
          </w:p>
        </w:tc>
        <w:tc>
          <w:tcPr>
            <w:tcW w:w="850" w:type="dxa"/>
            <w:noWrap/>
            <w:hideMark/>
          </w:tcPr>
          <w:p w14:paraId="0D17300E"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77</w:t>
            </w:r>
          </w:p>
        </w:tc>
        <w:tc>
          <w:tcPr>
            <w:tcW w:w="851" w:type="dxa"/>
            <w:noWrap/>
            <w:hideMark/>
          </w:tcPr>
          <w:p w14:paraId="4D9B4C72"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6</w:t>
            </w:r>
          </w:p>
        </w:tc>
        <w:tc>
          <w:tcPr>
            <w:tcW w:w="850" w:type="dxa"/>
            <w:noWrap/>
            <w:hideMark/>
          </w:tcPr>
          <w:p w14:paraId="59D09691"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17 053</w:t>
            </w:r>
          </w:p>
        </w:tc>
      </w:tr>
      <w:tr w:rsidR="00AA61FD" w:rsidRPr="00E13D45" w14:paraId="26327D68" w14:textId="77777777" w:rsidTr="00945B0D">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7685567"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Informasjon og kommunikasjon</w:t>
            </w:r>
          </w:p>
        </w:tc>
        <w:tc>
          <w:tcPr>
            <w:tcW w:w="850" w:type="dxa"/>
            <w:noWrap/>
            <w:hideMark/>
          </w:tcPr>
          <w:p w14:paraId="48A10A7D"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16 014</w:t>
            </w:r>
          </w:p>
        </w:tc>
        <w:tc>
          <w:tcPr>
            <w:tcW w:w="851" w:type="dxa"/>
            <w:noWrap/>
            <w:hideMark/>
          </w:tcPr>
          <w:p w14:paraId="651C2E7B"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4 598</w:t>
            </w:r>
          </w:p>
        </w:tc>
        <w:tc>
          <w:tcPr>
            <w:tcW w:w="850" w:type="dxa"/>
            <w:noWrap/>
            <w:hideMark/>
          </w:tcPr>
          <w:p w14:paraId="0530130F"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1 152</w:t>
            </w:r>
          </w:p>
        </w:tc>
        <w:tc>
          <w:tcPr>
            <w:tcW w:w="851" w:type="dxa"/>
            <w:noWrap/>
            <w:hideMark/>
          </w:tcPr>
          <w:p w14:paraId="2057C8EB"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865</w:t>
            </w:r>
          </w:p>
        </w:tc>
        <w:tc>
          <w:tcPr>
            <w:tcW w:w="850" w:type="dxa"/>
            <w:noWrap/>
            <w:hideMark/>
          </w:tcPr>
          <w:p w14:paraId="62C3A820"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629</w:t>
            </w:r>
          </w:p>
        </w:tc>
        <w:tc>
          <w:tcPr>
            <w:tcW w:w="851" w:type="dxa"/>
            <w:noWrap/>
            <w:hideMark/>
          </w:tcPr>
          <w:p w14:paraId="0715BBC7"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221</w:t>
            </w:r>
          </w:p>
        </w:tc>
        <w:tc>
          <w:tcPr>
            <w:tcW w:w="850" w:type="dxa"/>
            <w:noWrap/>
            <w:hideMark/>
          </w:tcPr>
          <w:p w14:paraId="67D18733"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97</w:t>
            </w:r>
          </w:p>
        </w:tc>
        <w:tc>
          <w:tcPr>
            <w:tcW w:w="851" w:type="dxa"/>
            <w:noWrap/>
            <w:hideMark/>
          </w:tcPr>
          <w:p w14:paraId="6C3C9B6C"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39</w:t>
            </w:r>
          </w:p>
        </w:tc>
        <w:tc>
          <w:tcPr>
            <w:tcW w:w="850" w:type="dxa"/>
            <w:noWrap/>
            <w:hideMark/>
          </w:tcPr>
          <w:p w14:paraId="6C236DA6"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23 615</w:t>
            </w:r>
          </w:p>
        </w:tc>
      </w:tr>
      <w:tr w:rsidR="00AA61FD" w:rsidRPr="00E13D45" w14:paraId="1CD1E285" w14:textId="77777777" w:rsidTr="00945B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A01BB3F"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Finansiering og forsikring</w:t>
            </w:r>
          </w:p>
        </w:tc>
        <w:tc>
          <w:tcPr>
            <w:tcW w:w="850" w:type="dxa"/>
            <w:noWrap/>
            <w:hideMark/>
          </w:tcPr>
          <w:p w14:paraId="2F795021"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2 275</w:t>
            </w:r>
          </w:p>
        </w:tc>
        <w:tc>
          <w:tcPr>
            <w:tcW w:w="851" w:type="dxa"/>
            <w:noWrap/>
            <w:hideMark/>
          </w:tcPr>
          <w:p w14:paraId="5C03DFB9"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1 050</w:t>
            </w:r>
          </w:p>
        </w:tc>
        <w:tc>
          <w:tcPr>
            <w:tcW w:w="850" w:type="dxa"/>
            <w:noWrap/>
            <w:hideMark/>
          </w:tcPr>
          <w:p w14:paraId="1BAA9EF7"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458</w:t>
            </w:r>
          </w:p>
        </w:tc>
        <w:tc>
          <w:tcPr>
            <w:tcW w:w="851" w:type="dxa"/>
            <w:noWrap/>
            <w:hideMark/>
          </w:tcPr>
          <w:p w14:paraId="7BA12CA3"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307</w:t>
            </w:r>
          </w:p>
        </w:tc>
        <w:tc>
          <w:tcPr>
            <w:tcW w:w="850" w:type="dxa"/>
            <w:noWrap/>
            <w:hideMark/>
          </w:tcPr>
          <w:p w14:paraId="713A7148"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223</w:t>
            </w:r>
          </w:p>
        </w:tc>
        <w:tc>
          <w:tcPr>
            <w:tcW w:w="851" w:type="dxa"/>
            <w:noWrap/>
            <w:hideMark/>
          </w:tcPr>
          <w:p w14:paraId="6A18D1F6"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76</w:t>
            </w:r>
          </w:p>
        </w:tc>
        <w:tc>
          <w:tcPr>
            <w:tcW w:w="850" w:type="dxa"/>
            <w:noWrap/>
            <w:hideMark/>
          </w:tcPr>
          <w:p w14:paraId="553BBF7B"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54</w:t>
            </w:r>
          </w:p>
        </w:tc>
        <w:tc>
          <w:tcPr>
            <w:tcW w:w="851" w:type="dxa"/>
            <w:noWrap/>
            <w:hideMark/>
          </w:tcPr>
          <w:p w14:paraId="702DA7D9"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25</w:t>
            </w:r>
          </w:p>
        </w:tc>
        <w:tc>
          <w:tcPr>
            <w:tcW w:w="850" w:type="dxa"/>
            <w:noWrap/>
            <w:hideMark/>
          </w:tcPr>
          <w:p w14:paraId="228D2BB1"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4 468</w:t>
            </w:r>
          </w:p>
        </w:tc>
      </w:tr>
      <w:tr w:rsidR="00AA61FD" w:rsidRPr="00E13D45" w14:paraId="431853CE" w14:textId="77777777" w:rsidTr="00945B0D">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AEBCB27"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Omsetning og drift av fast eiendom</w:t>
            </w:r>
          </w:p>
        </w:tc>
        <w:tc>
          <w:tcPr>
            <w:tcW w:w="850" w:type="dxa"/>
            <w:noWrap/>
            <w:hideMark/>
          </w:tcPr>
          <w:p w14:paraId="02DD71E9"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49 712</w:t>
            </w:r>
          </w:p>
        </w:tc>
        <w:tc>
          <w:tcPr>
            <w:tcW w:w="851" w:type="dxa"/>
            <w:noWrap/>
            <w:hideMark/>
          </w:tcPr>
          <w:p w14:paraId="0467A9DA"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6 372</w:t>
            </w:r>
          </w:p>
        </w:tc>
        <w:tc>
          <w:tcPr>
            <w:tcW w:w="850" w:type="dxa"/>
            <w:noWrap/>
            <w:hideMark/>
          </w:tcPr>
          <w:p w14:paraId="17EBB823"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1 003</w:t>
            </w:r>
          </w:p>
        </w:tc>
        <w:tc>
          <w:tcPr>
            <w:tcW w:w="851" w:type="dxa"/>
            <w:noWrap/>
            <w:hideMark/>
          </w:tcPr>
          <w:p w14:paraId="4903DA11"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354</w:t>
            </w:r>
          </w:p>
        </w:tc>
        <w:tc>
          <w:tcPr>
            <w:tcW w:w="850" w:type="dxa"/>
            <w:noWrap/>
            <w:hideMark/>
          </w:tcPr>
          <w:p w14:paraId="33D19415"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114</w:t>
            </w:r>
          </w:p>
        </w:tc>
        <w:tc>
          <w:tcPr>
            <w:tcW w:w="851" w:type="dxa"/>
            <w:noWrap/>
            <w:hideMark/>
          </w:tcPr>
          <w:p w14:paraId="0A2AB9F5"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15</w:t>
            </w:r>
          </w:p>
        </w:tc>
        <w:tc>
          <w:tcPr>
            <w:tcW w:w="850" w:type="dxa"/>
            <w:noWrap/>
            <w:hideMark/>
          </w:tcPr>
          <w:p w14:paraId="242C94B1"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9</w:t>
            </w:r>
          </w:p>
        </w:tc>
        <w:tc>
          <w:tcPr>
            <w:tcW w:w="851" w:type="dxa"/>
            <w:noWrap/>
            <w:hideMark/>
          </w:tcPr>
          <w:p w14:paraId="5D5115FA"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0" w:type="dxa"/>
            <w:noWrap/>
            <w:hideMark/>
          </w:tcPr>
          <w:p w14:paraId="0AC50332"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57 579</w:t>
            </w:r>
          </w:p>
        </w:tc>
      </w:tr>
      <w:tr w:rsidR="00AA61FD" w:rsidRPr="00E13D45" w14:paraId="6F168210" w14:textId="77777777" w:rsidTr="00945B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753D9FC"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Faglig, vitenskapelig og teknisk tjenesteyting</w:t>
            </w:r>
          </w:p>
        </w:tc>
        <w:tc>
          <w:tcPr>
            <w:tcW w:w="850" w:type="dxa"/>
            <w:noWrap/>
            <w:hideMark/>
          </w:tcPr>
          <w:p w14:paraId="06DE4B5A"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44 632</w:t>
            </w:r>
          </w:p>
        </w:tc>
        <w:tc>
          <w:tcPr>
            <w:tcW w:w="851" w:type="dxa"/>
            <w:noWrap/>
            <w:hideMark/>
          </w:tcPr>
          <w:p w14:paraId="18FD7505"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13 158</w:t>
            </w:r>
          </w:p>
        </w:tc>
        <w:tc>
          <w:tcPr>
            <w:tcW w:w="850" w:type="dxa"/>
            <w:noWrap/>
            <w:hideMark/>
          </w:tcPr>
          <w:p w14:paraId="4E7EF291"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2 886</w:t>
            </w:r>
          </w:p>
        </w:tc>
        <w:tc>
          <w:tcPr>
            <w:tcW w:w="851" w:type="dxa"/>
            <w:noWrap/>
            <w:hideMark/>
          </w:tcPr>
          <w:p w14:paraId="772C95E4"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1 694</w:t>
            </w:r>
          </w:p>
        </w:tc>
        <w:tc>
          <w:tcPr>
            <w:tcW w:w="850" w:type="dxa"/>
            <w:noWrap/>
            <w:hideMark/>
          </w:tcPr>
          <w:p w14:paraId="047F3747"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913</w:t>
            </w:r>
          </w:p>
        </w:tc>
        <w:tc>
          <w:tcPr>
            <w:tcW w:w="851" w:type="dxa"/>
            <w:noWrap/>
            <w:hideMark/>
          </w:tcPr>
          <w:p w14:paraId="1F78648E"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224</w:t>
            </w:r>
          </w:p>
        </w:tc>
        <w:tc>
          <w:tcPr>
            <w:tcW w:w="850" w:type="dxa"/>
            <w:noWrap/>
            <w:hideMark/>
          </w:tcPr>
          <w:p w14:paraId="68B6532E"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107</w:t>
            </w:r>
          </w:p>
        </w:tc>
        <w:tc>
          <w:tcPr>
            <w:tcW w:w="851" w:type="dxa"/>
            <w:noWrap/>
            <w:hideMark/>
          </w:tcPr>
          <w:p w14:paraId="35A2035F"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46</w:t>
            </w:r>
          </w:p>
        </w:tc>
        <w:tc>
          <w:tcPr>
            <w:tcW w:w="850" w:type="dxa"/>
            <w:noWrap/>
            <w:hideMark/>
          </w:tcPr>
          <w:p w14:paraId="2368306D"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63 660</w:t>
            </w:r>
          </w:p>
        </w:tc>
      </w:tr>
      <w:tr w:rsidR="00AA61FD" w:rsidRPr="00E13D45" w14:paraId="61EF431E" w14:textId="77777777" w:rsidTr="00945B0D">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D88900E"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Forretningsmessig tjenesteyting</w:t>
            </w:r>
          </w:p>
        </w:tc>
        <w:tc>
          <w:tcPr>
            <w:tcW w:w="850" w:type="dxa"/>
            <w:noWrap/>
            <w:hideMark/>
          </w:tcPr>
          <w:p w14:paraId="0B0B46D3"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19 654</w:t>
            </w:r>
          </w:p>
        </w:tc>
        <w:tc>
          <w:tcPr>
            <w:tcW w:w="851" w:type="dxa"/>
            <w:noWrap/>
            <w:hideMark/>
          </w:tcPr>
          <w:p w14:paraId="4AA8C90B"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4 719</w:t>
            </w:r>
          </w:p>
        </w:tc>
        <w:tc>
          <w:tcPr>
            <w:tcW w:w="850" w:type="dxa"/>
            <w:noWrap/>
            <w:hideMark/>
          </w:tcPr>
          <w:p w14:paraId="48359445"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1 584</w:t>
            </w:r>
          </w:p>
        </w:tc>
        <w:tc>
          <w:tcPr>
            <w:tcW w:w="851" w:type="dxa"/>
            <w:noWrap/>
            <w:hideMark/>
          </w:tcPr>
          <w:p w14:paraId="4A85FCC6"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1 091</w:t>
            </w:r>
          </w:p>
        </w:tc>
        <w:tc>
          <w:tcPr>
            <w:tcW w:w="850" w:type="dxa"/>
            <w:noWrap/>
            <w:hideMark/>
          </w:tcPr>
          <w:p w14:paraId="113F0C61"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978</w:t>
            </w:r>
          </w:p>
        </w:tc>
        <w:tc>
          <w:tcPr>
            <w:tcW w:w="851" w:type="dxa"/>
            <w:noWrap/>
            <w:hideMark/>
          </w:tcPr>
          <w:p w14:paraId="3ACA8D8D"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404</w:t>
            </w:r>
          </w:p>
        </w:tc>
        <w:tc>
          <w:tcPr>
            <w:tcW w:w="850" w:type="dxa"/>
            <w:noWrap/>
            <w:hideMark/>
          </w:tcPr>
          <w:p w14:paraId="07A5296D"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241</w:t>
            </w:r>
          </w:p>
        </w:tc>
        <w:tc>
          <w:tcPr>
            <w:tcW w:w="851" w:type="dxa"/>
            <w:noWrap/>
            <w:hideMark/>
          </w:tcPr>
          <w:p w14:paraId="6632EDD9"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70</w:t>
            </w:r>
          </w:p>
        </w:tc>
        <w:tc>
          <w:tcPr>
            <w:tcW w:w="850" w:type="dxa"/>
            <w:noWrap/>
            <w:hideMark/>
          </w:tcPr>
          <w:p w14:paraId="4ADB80F6"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28 741</w:t>
            </w:r>
          </w:p>
        </w:tc>
      </w:tr>
      <w:tr w:rsidR="00AA61FD" w:rsidRPr="00E13D45" w14:paraId="59D75B41" w14:textId="77777777" w:rsidTr="00945B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2EEC95D"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Offentlig administrasjon og forsvar, trygdeordninger underlagt offentlig forvaltning</w:t>
            </w:r>
          </w:p>
        </w:tc>
        <w:tc>
          <w:tcPr>
            <w:tcW w:w="850" w:type="dxa"/>
            <w:noWrap/>
            <w:hideMark/>
          </w:tcPr>
          <w:p w14:paraId="0DAFCB1B"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596</w:t>
            </w:r>
          </w:p>
        </w:tc>
        <w:tc>
          <w:tcPr>
            <w:tcW w:w="851" w:type="dxa"/>
            <w:noWrap/>
            <w:hideMark/>
          </w:tcPr>
          <w:p w14:paraId="2C0F87E0"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1 009</w:t>
            </w:r>
          </w:p>
        </w:tc>
        <w:tc>
          <w:tcPr>
            <w:tcW w:w="850" w:type="dxa"/>
            <w:noWrap/>
            <w:hideMark/>
          </w:tcPr>
          <w:p w14:paraId="6ADC77A3"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861</w:t>
            </w:r>
          </w:p>
        </w:tc>
        <w:tc>
          <w:tcPr>
            <w:tcW w:w="851" w:type="dxa"/>
            <w:noWrap/>
            <w:hideMark/>
          </w:tcPr>
          <w:p w14:paraId="26E68B32"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862</w:t>
            </w:r>
          </w:p>
        </w:tc>
        <w:tc>
          <w:tcPr>
            <w:tcW w:w="850" w:type="dxa"/>
            <w:noWrap/>
            <w:hideMark/>
          </w:tcPr>
          <w:p w14:paraId="7576D50D"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923</w:t>
            </w:r>
          </w:p>
        </w:tc>
        <w:tc>
          <w:tcPr>
            <w:tcW w:w="851" w:type="dxa"/>
            <w:noWrap/>
            <w:hideMark/>
          </w:tcPr>
          <w:p w14:paraId="6AD85665"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370</w:t>
            </w:r>
          </w:p>
        </w:tc>
        <w:tc>
          <w:tcPr>
            <w:tcW w:w="850" w:type="dxa"/>
            <w:noWrap/>
            <w:hideMark/>
          </w:tcPr>
          <w:p w14:paraId="08775881"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253</w:t>
            </w:r>
          </w:p>
        </w:tc>
        <w:tc>
          <w:tcPr>
            <w:tcW w:w="851" w:type="dxa"/>
            <w:noWrap/>
            <w:hideMark/>
          </w:tcPr>
          <w:p w14:paraId="658B116C"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101</w:t>
            </w:r>
          </w:p>
        </w:tc>
        <w:tc>
          <w:tcPr>
            <w:tcW w:w="850" w:type="dxa"/>
            <w:noWrap/>
            <w:hideMark/>
          </w:tcPr>
          <w:p w14:paraId="23283DCB"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4 975</w:t>
            </w:r>
          </w:p>
        </w:tc>
      </w:tr>
      <w:tr w:rsidR="00AA61FD" w:rsidRPr="00E13D45" w14:paraId="1981BD95" w14:textId="77777777" w:rsidTr="00945B0D">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5D4A388"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Undervisning</w:t>
            </w:r>
          </w:p>
        </w:tc>
        <w:tc>
          <w:tcPr>
            <w:tcW w:w="850" w:type="dxa"/>
            <w:noWrap/>
            <w:hideMark/>
          </w:tcPr>
          <w:p w14:paraId="399266DB"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12 591</w:t>
            </w:r>
          </w:p>
        </w:tc>
        <w:tc>
          <w:tcPr>
            <w:tcW w:w="851" w:type="dxa"/>
            <w:noWrap/>
            <w:hideMark/>
          </w:tcPr>
          <w:p w14:paraId="4080C037"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1 915</w:t>
            </w:r>
          </w:p>
        </w:tc>
        <w:tc>
          <w:tcPr>
            <w:tcW w:w="850" w:type="dxa"/>
            <w:noWrap/>
            <w:hideMark/>
          </w:tcPr>
          <w:p w14:paraId="265AE3F6"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818</w:t>
            </w:r>
          </w:p>
        </w:tc>
        <w:tc>
          <w:tcPr>
            <w:tcW w:w="851" w:type="dxa"/>
            <w:noWrap/>
            <w:hideMark/>
          </w:tcPr>
          <w:p w14:paraId="07E81004"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989</w:t>
            </w:r>
          </w:p>
        </w:tc>
        <w:tc>
          <w:tcPr>
            <w:tcW w:w="850" w:type="dxa"/>
            <w:noWrap/>
            <w:hideMark/>
          </w:tcPr>
          <w:p w14:paraId="6CBB0D0B"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1 748</w:t>
            </w:r>
          </w:p>
        </w:tc>
        <w:tc>
          <w:tcPr>
            <w:tcW w:w="851" w:type="dxa"/>
            <w:noWrap/>
            <w:hideMark/>
          </w:tcPr>
          <w:p w14:paraId="5EF0438C"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1 055</w:t>
            </w:r>
          </w:p>
        </w:tc>
        <w:tc>
          <w:tcPr>
            <w:tcW w:w="850" w:type="dxa"/>
            <w:noWrap/>
            <w:hideMark/>
          </w:tcPr>
          <w:p w14:paraId="425C4912"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300</w:t>
            </w:r>
          </w:p>
        </w:tc>
        <w:tc>
          <w:tcPr>
            <w:tcW w:w="851" w:type="dxa"/>
            <w:noWrap/>
            <w:hideMark/>
          </w:tcPr>
          <w:p w14:paraId="696C1100"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61</w:t>
            </w:r>
          </w:p>
        </w:tc>
        <w:tc>
          <w:tcPr>
            <w:tcW w:w="850" w:type="dxa"/>
            <w:noWrap/>
            <w:hideMark/>
          </w:tcPr>
          <w:p w14:paraId="71D5288E"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19 477</w:t>
            </w:r>
          </w:p>
        </w:tc>
      </w:tr>
      <w:tr w:rsidR="00AA61FD" w:rsidRPr="00E13D45" w14:paraId="0593C56F" w14:textId="77777777" w:rsidTr="00945B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152C97C"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Helse- og sosialtjenester</w:t>
            </w:r>
          </w:p>
        </w:tc>
        <w:tc>
          <w:tcPr>
            <w:tcW w:w="850" w:type="dxa"/>
            <w:noWrap/>
            <w:hideMark/>
          </w:tcPr>
          <w:p w14:paraId="0008510C"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29 026</w:t>
            </w:r>
          </w:p>
        </w:tc>
        <w:tc>
          <w:tcPr>
            <w:tcW w:w="851" w:type="dxa"/>
            <w:noWrap/>
            <w:hideMark/>
          </w:tcPr>
          <w:p w14:paraId="5A19F946"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8 105</w:t>
            </w:r>
          </w:p>
        </w:tc>
        <w:tc>
          <w:tcPr>
            <w:tcW w:w="850" w:type="dxa"/>
            <w:noWrap/>
            <w:hideMark/>
          </w:tcPr>
          <w:p w14:paraId="317CC9F3"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4 302</w:t>
            </w:r>
          </w:p>
        </w:tc>
        <w:tc>
          <w:tcPr>
            <w:tcW w:w="851" w:type="dxa"/>
            <w:noWrap/>
            <w:hideMark/>
          </w:tcPr>
          <w:p w14:paraId="1B5C3663"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5 089</w:t>
            </w:r>
          </w:p>
        </w:tc>
        <w:tc>
          <w:tcPr>
            <w:tcW w:w="850" w:type="dxa"/>
            <w:noWrap/>
            <w:hideMark/>
          </w:tcPr>
          <w:p w14:paraId="3B9F35E7"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5 744</w:t>
            </w:r>
          </w:p>
        </w:tc>
        <w:tc>
          <w:tcPr>
            <w:tcW w:w="851" w:type="dxa"/>
            <w:noWrap/>
            <w:hideMark/>
          </w:tcPr>
          <w:p w14:paraId="65E3B2C3"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1 573</w:t>
            </w:r>
          </w:p>
        </w:tc>
        <w:tc>
          <w:tcPr>
            <w:tcW w:w="850" w:type="dxa"/>
            <w:noWrap/>
            <w:hideMark/>
          </w:tcPr>
          <w:p w14:paraId="6B4DC67E"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763</w:t>
            </w:r>
          </w:p>
        </w:tc>
        <w:tc>
          <w:tcPr>
            <w:tcW w:w="851" w:type="dxa"/>
            <w:noWrap/>
            <w:hideMark/>
          </w:tcPr>
          <w:p w14:paraId="21C4BFF1"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187</w:t>
            </w:r>
          </w:p>
        </w:tc>
        <w:tc>
          <w:tcPr>
            <w:tcW w:w="850" w:type="dxa"/>
            <w:noWrap/>
            <w:hideMark/>
          </w:tcPr>
          <w:p w14:paraId="1404573F"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54 789</w:t>
            </w:r>
          </w:p>
        </w:tc>
      </w:tr>
      <w:tr w:rsidR="00AA61FD" w:rsidRPr="00E13D45" w14:paraId="4AABE5FC" w14:textId="77777777" w:rsidTr="00945B0D">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109F9FC"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Kultur, underholdning og fritid i alt</w:t>
            </w:r>
          </w:p>
        </w:tc>
        <w:tc>
          <w:tcPr>
            <w:tcW w:w="850" w:type="dxa"/>
            <w:noWrap/>
            <w:hideMark/>
          </w:tcPr>
          <w:p w14:paraId="46C7F709"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24 616</w:t>
            </w:r>
          </w:p>
        </w:tc>
        <w:tc>
          <w:tcPr>
            <w:tcW w:w="851" w:type="dxa"/>
            <w:noWrap/>
            <w:hideMark/>
          </w:tcPr>
          <w:p w14:paraId="005D00D8"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2 336</w:t>
            </w:r>
          </w:p>
        </w:tc>
        <w:tc>
          <w:tcPr>
            <w:tcW w:w="850" w:type="dxa"/>
            <w:noWrap/>
            <w:hideMark/>
          </w:tcPr>
          <w:p w14:paraId="0AF61984"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757</w:t>
            </w:r>
          </w:p>
        </w:tc>
        <w:tc>
          <w:tcPr>
            <w:tcW w:w="851" w:type="dxa"/>
            <w:noWrap/>
            <w:hideMark/>
          </w:tcPr>
          <w:p w14:paraId="1E3D9587"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635</w:t>
            </w:r>
          </w:p>
        </w:tc>
        <w:tc>
          <w:tcPr>
            <w:tcW w:w="850" w:type="dxa"/>
            <w:noWrap/>
            <w:hideMark/>
          </w:tcPr>
          <w:p w14:paraId="3B9E2337"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528</w:t>
            </w:r>
          </w:p>
        </w:tc>
        <w:tc>
          <w:tcPr>
            <w:tcW w:w="851" w:type="dxa"/>
            <w:noWrap/>
            <w:hideMark/>
          </w:tcPr>
          <w:p w14:paraId="3CB9D500"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112</w:t>
            </w:r>
          </w:p>
        </w:tc>
        <w:tc>
          <w:tcPr>
            <w:tcW w:w="850" w:type="dxa"/>
            <w:noWrap/>
            <w:hideMark/>
          </w:tcPr>
          <w:p w14:paraId="402D4541"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52</w:t>
            </w:r>
          </w:p>
        </w:tc>
        <w:tc>
          <w:tcPr>
            <w:tcW w:w="851" w:type="dxa"/>
            <w:noWrap/>
            <w:hideMark/>
          </w:tcPr>
          <w:p w14:paraId="23C6A9CE"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11</w:t>
            </w:r>
          </w:p>
        </w:tc>
        <w:tc>
          <w:tcPr>
            <w:tcW w:w="850" w:type="dxa"/>
            <w:noWrap/>
            <w:hideMark/>
          </w:tcPr>
          <w:p w14:paraId="176CF97D"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29 047</w:t>
            </w:r>
          </w:p>
        </w:tc>
      </w:tr>
      <w:tr w:rsidR="00AA61FD" w:rsidRPr="00E13D45" w14:paraId="5C10510B" w14:textId="77777777" w:rsidTr="00945B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FA2C984"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Personlig tjenesteyting</w:t>
            </w:r>
          </w:p>
        </w:tc>
        <w:tc>
          <w:tcPr>
            <w:tcW w:w="850" w:type="dxa"/>
            <w:noWrap/>
            <w:hideMark/>
          </w:tcPr>
          <w:p w14:paraId="6319A60B"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15 270</w:t>
            </w:r>
          </w:p>
        </w:tc>
        <w:tc>
          <w:tcPr>
            <w:tcW w:w="851" w:type="dxa"/>
            <w:noWrap/>
            <w:hideMark/>
          </w:tcPr>
          <w:p w14:paraId="6A03CCB5"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5 006</w:t>
            </w:r>
          </w:p>
        </w:tc>
        <w:tc>
          <w:tcPr>
            <w:tcW w:w="850" w:type="dxa"/>
            <w:noWrap/>
            <w:hideMark/>
          </w:tcPr>
          <w:p w14:paraId="2ED13E5B"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1 803</w:t>
            </w:r>
          </w:p>
        </w:tc>
        <w:tc>
          <w:tcPr>
            <w:tcW w:w="851" w:type="dxa"/>
            <w:noWrap/>
            <w:hideMark/>
          </w:tcPr>
          <w:p w14:paraId="2C51F38A"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744</w:t>
            </w:r>
          </w:p>
        </w:tc>
        <w:tc>
          <w:tcPr>
            <w:tcW w:w="850" w:type="dxa"/>
            <w:noWrap/>
            <w:hideMark/>
          </w:tcPr>
          <w:p w14:paraId="5EF8BDBD"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309</w:t>
            </w:r>
          </w:p>
        </w:tc>
        <w:tc>
          <w:tcPr>
            <w:tcW w:w="851" w:type="dxa"/>
            <w:noWrap/>
            <w:hideMark/>
          </w:tcPr>
          <w:p w14:paraId="0793D5E1"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79</w:t>
            </w:r>
          </w:p>
        </w:tc>
        <w:tc>
          <w:tcPr>
            <w:tcW w:w="850" w:type="dxa"/>
            <w:noWrap/>
            <w:hideMark/>
          </w:tcPr>
          <w:p w14:paraId="4D80C086"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27</w:t>
            </w:r>
          </w:p>
        </w:tc>
        <w:tc>
          <w:tcPr>
            <w:tcW w:w="851" w:type="dxa"/>
            <w:noWrap/>
            <w:hideMark/>
          </w:tcPr>
          <w:p w14:paraId="5F66BFD3"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w:t>
            </w:r>
          </w:p>
        </w:tc>
        <w:tc>
          <w:tcPr>
            <w:tcW w:w="850" w:type="dxa"/>
            <w:noWrap/>
            <w:hideMark/>
          </w:tcPr>
          <w:p w14:paraId="03D9F81E"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23 241</w:t>
            </w:r>
          </w:p>
        </w:tc>
      </w:tr>
      <w:tr w:rsidR="00AA61FD" w:rsidRPr="00E13D45" w14:paraId="6F36040E" w14:textId="77777777" w:rsidTr="00945B0D">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901EB09"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Lønnet arbeid i private husholdninger</w:t>
            </w:r>
          </w:p>
        </w:tc>
        <w:tc>
          <w:tcPr>
            <w:tcW w:w="850" w:type="dxa"/>
            <w:noWrap/>
            <w:hideMark/>
          </w:tcPr>
          <w:p w14:paraId="59A2A284"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19</w:t>
            </w:r>
          </w:p>
        </w:tc>
        <w:tc>
          <w:tcPr>
            <w:tcW w:w="851" w:type="dxa"/>
            <w:noWrap/>
            <w:hideMark/>
          </w:tcPr>
          <w:p w14:paraId="4F4191AC"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5</w:t>
            </w:r>
          </w:p>
        </w:tc>
        <w:tc>
          <w:tcPr>
            <w:tcW w:w="850" w:type="dxa"/>
            <w:noWrap/>
            <w:hideMark/>
          </w:tcPr>
          <w:p w14:paraId="217E46A8"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1" w:type="dxa"/>
            <w:noWrap/>
            <w:hideMark/>
          </w:tcPr>
          <w:p w14:paraId="04696657"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0" w:type="dxa"/>
            <w:noWrap/>
            <w:hideMark/>
          </w:tcPr>
          <w:p w14:paraId="5A87B9C5"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1" w:type="dxa"/>
            <w:noWrap/>
            <w:hideMark/>
          </w:tcPr>
          <w:p w14:paraId="23EEB42D"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0" w:type="dxa"/>
            <w:noWrap/>
            <w:hideMark/>
          </w:tcPr>
          <w:p w14:paraId="1782F49F"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1" w:type="dxa"/>
            <w:noWrap/>
            <w:hideMark/>
          </w:tcPr>
          <w:p w14:paraId="15EF3C2D"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0" w:type="dxa"/>
            <w:noWrap/>
            <w:hideMark/>
          </w:tcPr>
          <w:p w14:paraId="15E4379B"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24</w:t>
            </w:r>
          </w:p>
        </w:tc>
      </w:tr>
      <w:tr w:rsidR="00AA61FD" w:rsidRPr="00E13D45" w14:paraId="1B99E0BD" w14:textId="77777777" w:rsidTr="00945B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646899F"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Internasjonale organer</w:t>
            </w:r>
          </w:p>
        </w:tc>
        <w:tc>
          <w:tcPr>
            <w:tcW w:w="850" w:type="dxa"/>
            <w:noWrap/>
            <w:hideMark/>
          </w:tcPr>
          <w:p w14:paraId="5B1A480A"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1" w:type="dxa"/>
            <w:noWrap/>
            <w:hideMark/>
          </w:tcPr>
          <w:p w14:paraId="1A4A9914"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w:t>
            </w:r>
          </w:p>
        </w:tc>
        <w:tc>
          <w:tcPr>
            <w:tcW w:w="850" w:type="dxa"/>
            <w:noWrap/>
            <w:hideMark/>
          </w:tcPr>
          <w:p w14:paraId="3ADF47E4"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4</w:t>
            </w:r>
          </w:p>
        </w:tc>
        <w:tc>
          <w:tcPr>
            <w:tcW w:w="851" w:type="dxa"/>
            <w:noWrap/>
            <w:hideMark/>
          </w:tcPr>
          <w:p w14:paraId="22D5D570"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w:t>
            </w:r>
          </w:p>
        </w:tc>
        <w:tc>
          <w:tcPr>
            <w:tcW w:w="850" w:type="dxa"/>
            <w:noWrap/>
            <w:hideMark/>
          </w:tcPr>
          <w:p w14:paraId="0069FAD7"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1" w:type="dxa"/>
            <w:noWrap/>
            <w:hideMark/>
          </w:tcPr>
          <w:p w14:paraId="7CC8B2B7"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0" w:type="dxa"/>
            <w:noWrap/>
            <w:hideMark/>
          </w:tcPr>
          <w:p w14:paraId="3A7D018E"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1" w:type="dxa"/>
            <w:noWrap/>
            <w:hideMark/>
          </w:tcPr>
          <w:p w14:paraId="68B17C2D"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0" w:type="dxa"/>
            <w:noWrap/>
            <w:hideMark/>
          </w:tcPr>
          <w:p w14:paraId="7BF5B125"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8</w:t>
            </w:r>
          </w:p>
        </w:tc>
      </w:tr>
      <w:tr w:rsidR="00AA61FD" w:rsidRPr="00E13D45" w14:paraId="02120983" w14:textId="77777777" w:rsidTr="00945B0D">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94F75B8"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Uoppgitt</w:t>
            </w:r>
          </w:p>
        </w:tc>
        <w:tc>
          <w:tcPr>
            <w:tcW w:w="850" w:type="dxa"/>
            <w:noWrap/>
            <w:hideMark/>
          </w:tcPr>
          <w:p w14:paraId="7864037C"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3 335</w:t>
            </w:r>
          </w:p>
        </w:tc>
        <w:tc>
          <w:tcPr>
            <w:tcW w:w="851" w:type="dxa"/>
            <w:noWrap/>
            <w:hideMark/>
          </w:tcPr>
          <w:p w14:paraId="2FE69EC3"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277</w:t>
            </w:r>
          </w:p>
        </w:tc>
        <w:tc>
          <w:tcPr>
            <w:tcW w:w="850" w:type="dxa"/>
            <w:noWrap/>
            <w:hideMark/>
          </w:tcPr>
          <w:p w14:paraId="3D657C47"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5</w:t>
            </w:r>
          </w:p>
        </w:tc>
        <w:tc>
          <w:tcPr>
            <w:tcW w:w="851" w:type="dxa"/>
            <w:noWrap/>
            <w:hideMark/>
          </w:tcPr>
          <w:p w14:paraId="795D76AC"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w:t>
            </w:r>
          </w:p>
        </w:tc>
        <w:tc>
          <w:tcPr>
            <w:tcW w:w="850" w:type="dxa"/>
            <w:noWrap/>
            <w:hideMark/>
          </w:tcPr>
          <w:p w14:paraId="119E9E3F"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1" w:type="dxa"/>
            <w:noWrap/>
            <w:hideMark/>
          </w:tcPr>
          <w:p w14:paraId="0D2990CF"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0" w:type="dxa"/>
            <w:noWrap/>
            <w:hideMark/>
          </w:tcPr>
          <w:p w14:paraId="0EA51857"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1" w:type="dxa"/>
            <w:noWrap/>
            <w:hideMark/>
          </w:tcPr>
          <w:p w14:paraId="6EA36B7D"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w:t>
            </w:r>
          </w:p>
        </w:tc>
        <w:tc>
          <w:tcPr>
            <w:tcW w:w="850" w:type="dxa"/>
            <w:noWrap/>
            <w:hideMark/>
          </w:tcPr>
          <w:p w14:paraId="0E5F88DC" w14:textId="77777777" w:rsidR="00AA61FD" w:rsidRPr="00E13D45" w:rsidRDefault="00AA61FD" w:rsidP="00945B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nb-NO"/>
              </w:rPr>
            </w:pPr>
            <w:r w:rsidRPr="00E13D45">
              <w:rPr>
                <w:rFonts w:eastAsia="Times New Roman" w:cs="Times New Roman"/>
                <w:color w:val="000000"/>
                <w:sz w:val="16"/>
                <w:szCs w:val="16"/>
                <w:lang w:eastAsia="nb-NO"/>
              </w:rPr>
              <w:t>3 620</w:t>
            </w:r>
          </w:p>
        </w:tc>
      </w:tr>
      <w:tr w:rsidR="00AA61FD" w:rsidRPr="00E13D45" w14:paraId="6C814BC7" w14:textId="77777777" w:rsidTr="00945B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90392CD" w14:textId="77777777" w:rsidR="00AA61FD" w:rsidRPr="00E13D45" w:rsidRDefault="00AA61FD" w:rsidP="00945B0D">
            <w:pPr>
              <w:spacing w:line="240" w:lineRule="auto"/>
              <w:jc w:val="center"/>
              <w:rPr>
                <w:rFonts w:eastAsia="Times New Roman" w:cs="Times New Roman"/>
                <w:sz w:val="16"/>
                <w:szCs w:val="16"/>
                <w:lang w:eastAsia="nb-NO"/>
              </w:rPr>
            </w:pPr>
            <w:r w:rsidRPr="00E13D45">
              <w:rPr>
                <w:rFonts w:eastAsia="Times New Roman" w:cs="Times New Roman"/>
                <w:sz w:val="16"/>
                <w:szCs w:val="16"/>
                <w:lang w:eastAsia="nb-NO"/>
              </w:rPr>
              <w:t>Alle næringer</w:t>
            </w:r>
          </w:p>
        </w:tc>
        <w:tc>
          <w:tcPr>
            <w:tcW w:w="850" w:type="dxa"/>
            <w:noWrap/>
            <w:hideMark/>
          </w:tcPr>
          <w:p w14:paraId="69237C64"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lang w:eastAsia="nb-NO"/>
              </w:rPr>
            </w:pPr>
            <w:r w:rsidRPr="00E13D45">
              <w:rPr>
                <w:rFonts w:eastAsia="Times New Roman" w:cs="Times New Roman"/>
                <w:b/>
                <w:bCs/>
                <w:color w:val="000000"/>
                <w:sz w:val="16"/>
                <w:szCs w:val="16"/>
                <w:lang w:eastAsia="nb-NO"/>
              </w:rPr>
              <w:t>387 923</w:t>
            </w:r>
          </w:p>
        </w:tc>
        <w:tc>
          <w:tcPr>
            <w:tcW w:w="851" w:type="dxa"/>
            <w:noWrap/>
            <w:hideMark/>
          </w:tcPr>
          <w:p w14:paraId="116808D3"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lang w:eastAsia="nb-NO"/>
              </w:rPr>
            </w:pPr>
            <w:r w:rsidRPr="00E13D45">
              <w:rPr>
                <w:rFonts w:eastAsia="Times New Roman" w:cs="Times New Roman"/>
                <w:b/>
                <w:bCs/>
                <w:color w:val="000000"/>
                <w:sz w:val="16"/>
                <w:szCs w:val="16"/>
                <w:lang w:eastAsia="nb-NO"/>
              </w:rPr>
              <w:t>100 326</w:t>
            </w:r>
          </w:p>
        </w:tc>
        <w:tc>
          <w:tcPr>
            <w:tcW w:w="850" w:type="dxa"/>
            <w:noWrap/>
            <w:hideMark/>
          </w:tcPr>
          <w:p w14:paraId="5F273E8C"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lang w:eastAsia="nb-NO"/>
              </w:rPr>
            </w:pPr>
            <w:r w:rsidRPr="00E13D45">
              <w:rPr>
                <w:rFonts w:eastAsia="Times New Roman" w:cs="Times New Roman"/>
                <w:b/>
                <w:bCs/>
                <w:color w:val="000000"/>
                <w:sz w:val="16"/>
                <w:szCs w:val="16"/>
                <w:lang w:eastAsia="nb-NO"/>
              </w:rPr>
              <w:t>41 438</w:t>
            </w:r>
          </w:p>
        </w:tc>
        <w:tc>
          <w:tcPr>
            <w:tcW w:w="851" w:type="dxa"/>
            <w:noWrap/>
            <w:hideMark/>
          </w:tcPr>
          <w:p w14:paraId="7F976E07"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lang w:eastAsia="nb-NO"/>
              </w:rPr>
            </w:pPr>
            <w:r w:rsidRPr="00E13D45">
              <w:rPr>
                <w:rFonts w:eastAsia="Times New Roman" w:cs="Times New Roman"/>
                <w:b/>
                <w:bCs/>
                <w:color w:val="000000"/>
                <w:sz w:val="16"/>
                <w:szCs w:val="16"/>
                <w:lang w:eastAsia="nb-NO"/>
              </w:rPr>
              <w:t>30 051</w:t>
            </w:r>
          </w:p>
        </w:tc>
        <w:tc>
          <w:tcPr>
            <w:tcW w:w="850" w:type="dxa"/>
            <w:noWrap/>
            <w:hideMark/>
          </w:tcPr>
          <w:p w14:paraId="6F64F555"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lang w:eastAsia="nb-NO"/>
              </w:rPr>
            </w:pPr>
            <w:r w:rsidRPr="00E13D45">
              <w:rPr>
                <w:rFonts w:eastAsia="Times New Roman" w:cs="Times New Roman"/>
                <w:b/>
                <w:bCs/>
                <w:color w:val="000000"/>
                <w:sz w:val="16"/>
                <w:szCs w:val="16"/>
                <w:lang w:eastAsia="nb-NO"/>
              </w:rPr>
              <w:t>21 062</w:t>
            </w:r>
          </w:p>
        </w:tc>
        <w:tc>
          <w:tcPr>
            <w:tcW w:w="851" w:type="dxa"/>
            <w:noWrap/>
            <w:hideMark/>
          </w:tcPr>
          <w:p w14:paraId="0F24A236"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lang w:eastAsia="nb-NO"/>
              </w:rPr>
            </w:pPr>
            <w:r w:rsidRPr="00E13D45">
              <w:rPr>
                <w:rFonts w:eastAsia="Times New Roman" w:cs="Times New Roman"/>
                <w:b/>
                <w:bCs/>
                <w:color w:val="000000"/>
                <w:sz w:val="16"/>
                <w:szCs w:val="16"/>
                <w:lang w:eastAsia="nb-NO"/>
              </w:rPr>
              <w:t>6 334</w:t>
            </w:r>
          </w:p>
        </w:tc>
        <w:tc>
          <w:tcPr>
            <w:tcW w:w="850" w:type="dxa"/>
            <w:noWrap/>
            <w:hideMark/>
          </w:tcPr>
          <w:p w14:paraId="0B6FAD7D"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lang w:eastAsia="nb-NO"/>
              </w:rPr>
            </w:pPr>
            <w:r w:rsidRPr="00E13D45">
              <w:rPr>
                <w:rFonts w:eastAsia="Times New Roman" w:cs="Times New Roman"/>
                <w:b/>
                <w:bCs/>
                <w:color w:val="000000"/>
                <w:sz w:val="16"/>
                <w:szCs w:val="16"/>
                <w:lang w:eastAsia="nb-NO"/>
              </w:rPr>
              <w:t>2 831</w:t>
            </w:r>
          </w:p>
        </w:tc>
        <w:tc>
          <w:tcPr>
            <w:tcW w:w="851" w:type="dxa"/>
            <w:noWrap/>
            <w:hideMark/>
          </w:tcPr>
          <w:p w14:paraId="565F4CE8"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lang w:eastAsia="nb-NO"/>
              </w:rPr>
            </w:pPr>
            <w:r w:rsidRPr="00E13D45">
              <w:rPr>
                <w:rFonts w:eastAsia="Times New Roman" w:cs="Times New Roman"/>
                <w:b/>
                <w:bCs/>
                <w:color w:val="000000"/>
                <w:sz w:val="16"/>
                <w:szCs w:val="16"/>
                <w:lang w:eastAsia="nb-NO"/>
              </w:rPr>
              <w:t>845</w:t>
            </w:r>
          </w:p>
        </w:tc>
        <w:tc>
          <w:tcPr>
            <w:tcW w:w="850" w:type="dxa"/>
            <w:noWrap/>
            <w:hideMark/>
          </w:tcPr>
          <w:p w14:paraId="21163879" w14:textId="77777777" w:rsidR="00AA61FD" w:rsidRPr="00E13D45" w:rsidRDefault="00AA61FD" w:rsidP="00945B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lang w:eastAsia="nb-NO"/>
              </w:rPr>
            </w:pPr>
            <w:r w:rsidRPr="00E13D45">
              <w:rPr>
                <w:rFonts w:eastAsia="Times New Roman" w:cs="Times New Roman"/>
                <w:b/>
                <w:bCs/>
                <w:color w:val="000000"/>
                <w:sz w:val="16"/>
                <w:szCs w:val="16"/>
                <w:lang w:eastAsia="nb-NO"/>
              </w:rPr>
              <w:t>590 810</w:t>
            </w:r>
          </w:p>
        </w:tc>
      </w:tr>
    </w:tbl>
    <w:p w14:paraId="3744F89F" w14:textId="4317B800" w:rsidR="00AA61FD" w:rsidRPr="00A4505C" w:rsidRDefault="00E93605" w:rsidP="00AA61FD">
      <w:r w:rsidRPr="00660761">
        <w:rPr>
          <w:sz w:val="16"/>
          <w:szCs w:val="16"/>
        </w:rPr>
        <w:t>Kilde: SSB</w:t>
      </w:r>
    </w:p>
    <w:p w14:paraId="6C02B1D1" w14:textId="77777777" w:rsidR="00AA61FD" w:rsidRDefault="00AA61FD" w:rsidP="00AA61FD">
      <w:pPr>
        <w:spacing w:line="240" w:lineRule="auto"/>
        <w:rPr>
          <w:sz w:val="16"/>
          <w:szCs w:val="16"/>
        </w:rPr>
      </w:pPr>
      <w:r>
        <w:rPr>
          <w:sz w:val="16"/>
          <w:szCs w:val="16"/>
        </w:rPr>
        <w:br w:type="page"/>
      </w:r>
    </w:p>
    <w:p w14:paraId="3E6C98C2" w14:textId="77777777" w:rsidR="00AA61FD" w:rsidRDefault="00AA61FD" w:rsidP="00AA61FD">
      <w:pPr>
        <w:spacing w:line="240" w:lineRule="auto"/>
        <w:rPr>
          <w:sz w:val="16"/>
          <w:szCs w:val="16"/>
        </w:rPr>
      </w:pPr>
    </w:p>
    <w:p w14:paraId="672D31CD" w14:textId="77777777" w:rsidR="00AA61FD" w:rsidRPr="007B5510" w:rsidRDefault="00AA61FD" w:rsidP="00AA61FD">
      <w:pPr>
        <w:spacing w:after="100"/>
        <w:rPr>
          <w:szCs w:val="20"/>
        </w:rPr>
      </w:pPr>
      <w:r w:rsidRPr="004D045D">
        <w:rPr>
          <w:sz w:val="16"/>
          <w:szCs w:val="16"/>
        </w:rPr>
        <w:br w:type="page"/>
      </w:r>
    </w:p>
    <w:p w14:paraId="4BDC71D2" w14:textId="77777777" w:rsidR="00AA61FD" w:rsidRPr="00A56DF8" w:rsidRDefault="00AA61FD" w:rsidP="00AA61FD">
      <w:pPr>
        <w:rPr>
          <w:b/>
          <w:lang w:val="nn-NO"/>
        </w:rPr>
      </w:pPr>
      <w:r w:rsidRPr="00A56DF8">
        <w:rPr>
          <w:rFonts w:ascii="Neo Sans" w:hAnsi="Neo Sans"/>
          <w:b/>
          <w:noProof/>
          <w:lang w:eastAsia="nb-NO"/>
        </w:rPr>
        <w:lastRenderedPageBreak/>
        <w:drawing>
          <wp:anchor distT="0" distB="0" distL="114300" distR="114300" simplePos="0" relativeHeight="251661312" behindDoc="0" locked="0" layoutInCell="1" allowOverlap="1" wp14:anchorId="0577106B" wp14:editId="43BD968A">
            <wp:simplePos x="0" y="0"/>
            <wp:positionH relativeFrom="column">
              <wp:posOffset>-3057213</wp:posOffset>
            </wp:positionH>
            <wp:positionV relativeFrom="page">
              <wp:posOffset>-89535</wp:posOffset>
            </wp:positionV>
            <wp:extent cx="10372725" cy="7172325"/>
            <wp:effectExtent l="19050" t="0" r="28575" b="2028825"/>
            <wp:wrapNone/>
            <wp:docPr id="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gstock-Light-bulb-with-drawing-graph-47381827.jpg"/>
                    <pic:cNvPicPr/>
                  </pic:nvPicPr>
                  <pic:blipFill>
                    <a:blip r:embed="rId54">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0372725" cy="7172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p>
    <w:p w14:paraId="630751CA" w14:textId="77777777" w:rsidR="00AA61FD" w:rsidRPr="00A56DF8" w:rsidRDefault="00AA61FD" w:rsidP="00AA61FD">
      <w:pPr>
        <w:rPr>
          <w:b/>
          <w:lang w:val="nn-NO"/>
        </w:rPr>
      </w:pPr>
    </w:p>
    <w:p w14:paraId="2AD99DAF" w14:textId="77777777" w:rsidR="00AA61FD" w:rsidRPr="00A56DF8" w:rsidRDefault="00AA61FD" w:rsidP="00AA61FD">
      <w:pPr>
        <w:rPr>
          <w:b/>
          <w:lang w:val="nn-NO"/>
        </w:rPr>
      </w:pPr>
    </w:p>
    <w:p w14:paraId="7982FA3E" w14:textId="77777777" w:rsidR="00AA61FD" w:rsidRDefault="00AA61FD" w:rsidP="00AA61FD">
      <w:pPr>
        <w:rPr>
          <w:b/>
          <w:lang w:val="nn-NO"/>
        </w:rPr>
      </w:pPr>
    </w:p>
    <w:p w14:paraId="30C71B27" w14:textId="77777777" w:rsidR="00AA61FD" w:rsidRDefault="00AA61FD" w:rsidP="00AA61FD">
      <w:pPr>
        <w:rPr>
          <w:b/>
          <w:lang w:val="nn-NO"/>
        </w:rPr>
      </w:pPr>
    </w:p>
    <w:p w14:paraId="6169801B" w14:textId="77777777" w:rsidR="00AA61FD" w:rsidRDefault="00AA61FD" w:rsidP="00AA61FD">
      <w:pPr>
        <w:rPr>
          <w:b/>
          <w:lang w:val="nn-NO"/>
        </w:rPr>
      </w:pPr>
    </w:p>
    <w:p w14:paraId="27647CF4" w14:textId="77777777" w:rsidR="00AA61FD" w:rsidRDefault="00AA61FD" w:rsidP="00AA61FD">
      <w:pPr>
        <w:rPr>
          <w:b/>
          <w:lang w:val="nn-NO"/>
        </w:rPr>
      </w:pPr>
    </w:p>
    <w:p w14:paraId="551A5AC1" w14:textId="77777777" w:rsidR="00AA61FD" w:rsidRDefault="00AA61FD" w:rsidP="00AA61FD">
      <w:pPr>
        <w:rPr>
          <w:b/>
          <w:lang w:val="nn-NO"/>
        </w:rPr>
      </w:pPr>
    </w:p>
    <w:p w14:paraId="6F188E34" w14:textId="77777777" w:rsidR="00AA61FD" w:rsidRDefault="00AA61FD" w:rsidP="00AA61FD">
      <w:pPr>
        <w:rPr>
          <w:b/>
          <w:lang w:val="nn-NO"/>
        </w:rPr>
      </w:pPr>
    </w:p>
    <w:p w14:paraId="1C1456E8" w14:textId="77777777" w:rsidR="00AA61FD" w:rsidRDefault="00AA61FD" w:rsidP="00AA61FD">
      <w:pPr>
        <w:rPr>
          <w:b/>
          <w:lang w:val="nn-NO"/>
        </w:rPr>
      </w:pPr>
    </w:p>
    <w:p w14:paraId="5356B90E" w14:textId="77777777" w:rsidR="00AA61FD" w:rsidRDefault="00AA61FD" w:rsidP="00AA61FD">
      <w:pPr>
        <w:rPr>
          <w:b/>
          <w:lang w:val="nn-NO"/>
        </w:rPr>
      </w:pPr>
    </w:p>
    <w:p w14:paraId="41061F75" w14:textId="77777777" w:rsidR="00AA61FD" w:rsidRDefault="00AA61FD" w:rsidP="00AA61FD">
      <w:pPr>
        <w:rPr>
          <w:b/>
          <w:lang w:val="nn-NO"/>
        </w:rPr>
      </w:pPr>
    </w:p>
    <w:p w14:paraId="22F1AF63" w14:textId="77777777" w:rsidR="00AA61FD" w:rsidRDefault="00AA61FD" w:rsidP="00AA61FD">
      <w:pPr>
        <w:rPr>
          <w:b/>
          <w:lang w:val="nn-NO"/>
        </w:rPr>
      </w:pPr>
    </w:p>
    <w:p w14:paraId="2CE22150" w14:textId="77777777" w:rsidR="00AA61FD" w:rsidRDefault="00AA61FD" w:rsidP="00AA61FD">
      <w:pPr>
        <w:rPr>
          <w:b/>
          <w:lang w:val="nn-NO"/>
        </w:rPr>
      </w:pPr>
    </w:p>
    <w:p w14:paraId="7A24C450" w14:textId="77777777" w:rsidR="00AA61FD" w:rsidRDefault="00AA61FD" w:rsidP="00AA61FD">
      <w:pPr>
        <w:rPr>
          <w:b/>
          <w:lang w:val="nn-NO"/>
        </w:rPr>
      </w:pPr>
    </w:p>
    <w:p w14:paraId="6F8C317D" w14:textId="77777777" w:rsidR="00AA61FD" w:rsidRDefault="00AA61FD" w:rsidP="00AA61FD">
      <w:pPr>
        <w:rPr>
          <w:b/>
          <w:lang w:val="nn-NO"/>
        </w:rPr>
      </w:pPr>
    </w:p>
    <w:p w14:paraId="70536F22" w14:textId="77777777" w:rsidR="00AA61FD" w:rsidRDefault="00AA61FD" w:rsidP="00AA61FD">
      <w:pPr>
        <w:rPr>
          <w:b/>
          <w:lang w:val="nn-NO"/>
        </w:rPr>
      </w:pPr>
    </w:p>
    <w:p w14:paraId="4BDB6CC1" w14:textId="77777777" w:rsidR="00AA61FD" w:rsidRDefault="00AA61FD" w:rsidP="00AA61FD">
      <w:pPr>
        <w:rPr>
          <w:b/>
          <w:lang w:val="nn-NO"/>
        </w:rPr>
      </w:pPr>
    </w:p>
    <w:p w14:paraId="3BE7F644" w14:textId="77777777" w:rsidR="00AA61FD" w:rsidRDefault="00AA61FD" w:rsidP="00AA61FD">
      <w:pPr>
        <w:rPr>
          <w:b/>
          <w:lang w:val="nn-NO"/>
        </w:rPr>
      </w:pPr>
    </w:p>
    <w:p w14:paraId="4CDF537D" w14:textId="77777777" w:rsidR="00AA61FD" w:rsidRDefault="00AA61FD" w:rsidP="00AA61FD">
      <w:pPr>
        <w:rPr>
          <w:b/>
          <w:lang w:val="nn-NO"/>
        </w:rPr>
      </w:pPr>
    </w:p>
    <w:p w14:paraId="2E92B283" w14:textId="77777777" w:rsidR="00AA61FD" w:rsidRDefault="00AA61FD" w:rsidP="00AA61FD">
      <w:pPr>
        <w:rPr>
          <w:b/>
          <w:lang w:val="nn-NO"/>
        </w:rPr>
      </w:pPr>
    </w:p>
    <w:p w14:paraId="4CD705BC" w14:textId="77777777" w:rsidR="00AA61FD" w:rsidRDefault="00AA61FD" w:rsidP="00AA61FD">
      <w:pPr>
        <w:rPr>
          <w:b/>
          <w:lang w:val="nn-NO"/>
        </w:rPr>
      </w:pPr>
    </w:p>
    <w:p w14:paraId="7003D556" w14:textId="77777777" w:rsidR="00AA61FD" w:rsidRDefault="00AA61FD" w:rsidP="00AA61FD">
      <w:pPr>
        <w:rPr>
          <w:b/>
          <w:lang w:val="nn-NO"/>
        </w:rPr>
      </w:pPr>
    </w:p>
    <w:p w14:paraId="5E1C2E7D" w14:textId="77777777" w:rsidR="00AA61FD" w:rsidRDefault="00AA61FD" w:rsidP="00AA61FD">
      <w:pPr>
        <w:pStyle w:val="Kapitteltekst"/>
      </w:pPr>
    </w:p>
    <w:p w14:paraId="7A306120" w14:textId="77777777" w:rsidR="00AA61FD" w:rsidRDefault="00AA61FD" w:rsidP="00AA61FD">
      <w:pPr>
        <w:rPr>
          <w:b/>
          <w:lang w:val="nn-NO"/>
        </w:rPr>
      </w:pPr>
    </w:p>
    <w:p w14:paraId="2D0B0229" w14:textId="77777777" w:rsidR="00AA61FD" w:rsidRDefault="00AA61FD" w:rsidP="00AA61FD">
      <w:pPr>
        <w:rPr>
          <w:b/>
          <w:lang w:val="nn-NO"/>
        </w:rPr>
      </w:pPr>
    </w:p>
    <w:p w14:paraId="1A5EAA5A" w14:textId="77777777" w:rsidR="00AA61FD" w:rsidRDefault="00AA61FD" w:rsidP="00AA61FD">
      <w:pPr>
        <w:rPr>
          <w:b/>
          <w:lang w:val="nn-NO"/>
        </w:rPr>
      </w:pPr>
    </w:p>
    <w:p w14:paraId="3CB9EECD" w14:textId="77777777" w:rsidR="00AA61FD" w:rsidRDefault="00AA61FD" w:rsidP="00AA61FD">
      <w:pPr>
        <w:rPr>
          <w:b/>
          <w:lang w:val="nn-NO"/>
        </w:rPr>
      </w:pPr>
    </w:p>
    <w:p w14:paraId="440AF97A" w14:textId="77777777" w:rsidR="00AA61FD" w:rsidRDefault="00AA61FD" w:rsidP="00AA61FD">
      <w:pPr>
        <w:rPr>
          <w:b/>
          <w:lang w:val="nn-NO"/>
        </w:rPr>
      </w:pPr>
      <w:r w:rsidRPr="00A56DF8">
        <w:rPr>
          <w:rFonts w:ascii="Neo Sans" w:hAnsi="Neo Sans"/>
          <w:b/>
          <w:noProof/>
          <w:lang w:eastAsia="nb-NO"/>
        </w:rPr>
        <w:drawing>
          <wp:anchor distT="0" distB="0" distL="114300" distR="114300" simplePos="0" relativeHeight="251662336" behindDoc="1" locked="0" layoutInCell="1" allowOverlap="1" wp14:anchorId="5B44F26A" wp14:editId="7F14B4E1">
            <wp:simplePos x="0" y="0"/>
            <wp:positionH relativeFrom="margin">
              <wp:posOffset>-8130</wp:posOffset>
            </wp:positionH>
            <wp:positionV relativeFrom="paragraph">
              <wp:posOffset>237490</wp:posOffset>
            </wp:positionV>
            <wp:extent cx="1965960" cy="640715"/>
            <wp:effectExtent l="0" t="0" r="2540" b="0"/>
            <wp:wrapTight wrapText="bothSides">
              <wp:wrapPolygon edited="0">
                <wp:start x="1674" y="0"/>
                <wp:lineTo x="419" y="7278"/>
                <wp:lineTo x="0" y="10276"/>
                <wp:lineTo x="0" y="11132"/>
                <wp:lineTo x="1535" y="20979"/>
                <wp:lineTo x="1674" y="20979"/>
                <wp:lineTo x="6140" y="20979"/>
                <wp:lineTo x="9628" y="20979"/>
                <wp:lineTo x="21349" y="15841"/>
                <wp:lineTo x="21488" y="10276"/>
                <wp:lineTo x="20791" y="8563"/>
                <wp:lineTo x="15907" y="7278"/>
                <wp:lineTo x="16186" y="5138"/>
                <wp:lineTo x="6140" y="0"/>
                <wp:lineTo x="1674"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A-logo-ny.png"/>
                    <pic:cNvPicPr/>
                  </pic:nvPicPr>
                  <pic:blipFill>
                    <a:blip r:embed="rId11">
                      <a:extLst>
                        <a:ext uri="{28A0092B-C50C-407E-A947-70E740481C1C}">
                          <a14:useLocalDpi xmlns:a14="http://schemas.microsoft.com/office/drawing/2010/main" val="0"/>
                        </a:ext>
                      </a:extLst>
                    </a:blip>
                    <a:stretch>
                      <a:fillRect/>
                    </a:stretch>
                  </pic:blipFill>
                  <pic:spPr>
                    <a:xfrm>
                      <a:off x="0" y="0"/>
                      <a:ext cx="1965960" cy="640715"/>
                    </a:xfrm>
                    <a:prstGeom prst="rect">
                      <a:avLst/>
                    </a:prstGeom>
                  </pic:spPr>
                </pic:pic>
              </a:graphicData>
            </a:graphic>
            <wp14:sizeRelH relativeFrom="page">
              <wp14:pctWidth>0</wp14:pctWidth>
            </wp14:sizeRelH>
            <wp14:sizeRelV relativeFrom="page">
              <wp14:pctHeight>0</wp14:pctHeight>
            </wp14:sizeRelV>
          </wp:anchor>
        </w:drawing>
      </w:r>
    </w:p>
    <w:p w14:paraId="74119057" w14:textId="77777777" w:rsidR="00AA61FD" w:rsidRDefault="00AA61FD" w:rsidP="00AA61FD">
      <w:pPr>
        <w:rPr>
          <w:b/>
          <w:lang w:val="nn-NO"/>
        </w:rPr>
      </w:pPr>
    </w:p>
    <w:p w14:paraId="60DB3D55" w14:textId="77777777" w:rsidR="00AA61FD" w:rsidRDefault="00AA61FD" w:rsidP="00AA61FD">
      <w:pPr>
        <w:rPr>
          <w:b/>
          <w:lang w:val="nn-NO"/>
        </w:rPr>
      </w:pPr>
    </w:p>
    <w:p w14:paraId="55CCDD17" w14:textId="77777777" w:rsidR="00AA61FD" w:rsidRDefault="00AA61FD" w:rsidP="00AA61FD">
      <w:pPr>
        <w:rPr>
          <w:b/>
          <w:lang w:val="nn-NO"/>
        </w:rPr>
      </w:pPr>
    </w:p>
    <w:p w14:paraId="2F4A94D2" w14:textId="77777777" w:rsidR="00AA61FD" w:rsidRDefault="00AA61FD" w:rsidP="00AA61FD">
      <w:pPr>
        <w:rPr>
          <w:b/>
          <w:lang w:val="nn-NO"/>
        </w:rPr>
      </w:pPr>
    </w:p>
    <w:p w14:paraId="5B3C117B" w14:textId="77777777" w:rsidR="00AA61FD" w:rsidRPr="00A56DF8" w:rsidRDefault="00AA61FD" w:rsidP="00AA61FD">
      <w:pPr>
        <w:rPr>
          <w:lang w:val="nn-NO"/>
        </w:rPr>
      </w:pPr>
      <w:r w:rsidRPr="00A56DF8">
        <w:rPr>
          <w:b/>
          <w:lang w:val="nn-NO"/>
        </w:rPr>
        <w:t xml:space="preserve">Besøksadresse: </w:t>
      </w:r>
      <w:r>
        <w:rPr>
          <w:lang w:val="nn-NO"/>
        </w:rPr>
        <w:t>Apotekergata 10</w:t>
      </w:r>
      <w:r w:rsidRPr="00A56DF8">
        <w:rPr>
          <w:lang w:val="nn-NO"/>
        </w:rPr>
        <w:t xml:space="preserve">, </w:t>
      </w:r>
      <w:r>
        <w:rPr>
          <w:lang w:val="nn-NO"/>
        </w:rPr>
        <w:t>0180</w:t>
      </w:r>
      <w:r w:rsidRPr="00A56DF8">
        <w:rPr>
          <w:lang w:val="nn-NO"/>
        </w:rPr>
        <w:t xml:space="preserve"> Oslo</w:t>
      </w:r>
    </w:p>
    <w:p w14:paraId="2A7789AE" w14:textId="77777777" w:rsidR="00AA61FD" w:rsidRPr="00A56DF8" w:rsidRDefault="00AA61FD" w:rsidP="00AA61FD">
      <w:pPr>
        <w:rPr>
          <w:b/>
          <w:lang w:val="nn-NO"/>
        </w:rPr>
      </w:pPr>
      <w:r w:rsidRPr="00A56DF8">
        <w:rPr>
          <w:b/>
          <w:lang w:val="nn-NO"/>
        </w:rPr>
        <w:t xml:space="preserve">E-post: </w:t>
      </w:r>
      <w:r>
        <w:rPr>
          <w:lang w:val="nn-NO"/>
        </w:rPr>
        <w:t>vinje</w:t>
      </w:r>
      <w:r w:rsidRPr="00A56DF8">
        <w:rPr>
          <w:lang w:val="nn-NO"/>
        </w:rPr>
        <w:t>@nyanalyse.no</w:t>
      </w:r>
    </w:p>
    <w:p w14:paraId="46E9A490" w14:textId="77777777" w:rsidR="00AA61FD" w:rsidRPr="00D64D1C" w:rsidRDefault="00AA61FD" w:rsidP="00AA61FD">
      <w:r w:rsidRPr="00A56DF8">
        <w:rPr>
          <w:b/>
        </w:rPr>
        <w:t>Hjemmeside:</w:t>
      </w:r>
      <w:r w:rsidRPr="00A56DF8">
        <w:t xml:space="preserve"> www.nyanalyse.no</w:t>
      </w:r>
    </w:p>
    <w:sectPr w:rsidR="00AA61FD" w:rsidRPr="00D64D1C" w:rsidSect="0029080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47A9D" w14:textId="77777777" w:rsidR="009A6A52" w:rsidRDefault="009A6A52" w:rsidP="00AA61FD">
      <w:pPr>
        <w:spacing w:line="240" w:lineRule="auto"/>
      </w:pPr>
      <w:r>
        <w:separator/>
      </w:r>
    </w:p>
  </w:endnote>
  <w:endnote w:type="continuationSeparator" w:id="0">
    <w:p w14:paraId="1EA2D943" w14:textId="77777777" w:rsidR="009A6A52" w:rsidRDefault="009A6A52" w:rsidP="00AA61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InterFace">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Neo Sans">
    <w:altName w:val="Calibri"/>
    <w:panose1 w:val="00000000000000000000"/>
    <w:charset w:val="00"/>
    <w:family w:val="auto"/>
    <w:notTrueType/>
    <w:pitch w:val="variable"/>
    <w:sig w:usb0="0000008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454752"/>
      <w:docPartObj>
        <w:docPartGallery w:val="Page Numbers (Bottom of Page)"/>
        <w:docPartUnique/>
      </w:docPartObj>
    </w:sdtPr>
    <w:sdtEndPr/>
    <w:sdtContent>
      <w:p w14:paraId="516A5931" w14:textId="4A46389C" w:rsidR="00291BE2" w:rsidRDefault="00291BE2">
        <w:pPr>
          <w:pStyle w:val="Bunntekst"/>
          <w:jc w:val="center"/>
        </w:pPr>
        <w:r>
          <w:fldChar w:fldCharType="begin"/>
        </w:r>
        <w:r>
          <w:instrText>PAGE   \* MERGEFORMAT</w:instrText>
        </w:r>
        <w:r>
          <w:fldChar w:fldCharType="separate"/>
        </w:r>
        <w:r>
          <w:t>2</w:t>
        </w:r>
        <w:r>
          <w:fldChar w:fldCharType="end"/>
        </w:r>
      </w:p>
    </w:sdtContent>
  </w:sdt>
  <w:p w14:paraId="11423723" w14:textId="77777777" w:rsidR="00291BE2" w:rsidRDefault="00291BE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36A264" w14:textId="77777777" w:rsidR="009A6A52" w:rsidRDefault="009A6A52" w:rsidP="00AA61FD">
      <w:pPr>
        <w:spacing w:line="240" w:lineRule="auto"/>
      </w:pPr>
      <w:r>
        <w:separator/>
      </w:r>
    </w:p>
  </w:footnote>
  <w:footnote w:type="continuationSeparator" w:id="0">
    <w:p w14:paraId="1079CC96" w14:textId="77777777" w:rsidR="009A6A52" w:rsidRDefault="009A6A52" w:rsidP="00AA61FD">
      <w:pPr>
        <w:spacing w:line="240" w:lineRule="auto"/>
      </w:pPr>
      <w:r>
        <w:continuationSeparator/>
      </w:r>
    </w:p>
  </w:footnote>
  <w:footnote w:id="1">
    <w:p w14:paraId="586C1CEA" w14:textId="77777777" w:rsidR="00291BE2" w:rsidRPr="00043315" w:rsidRDefault="00291BE2" w:rsidP="00AA61FD">
      <w:pPr>
        <w:pStyle w:val="Fotnotetekst"/>
        <w:rPr>
          <w:sz w:val="18"/>
          <w:szCs w:val="18"/>
        </w:rPr>
      </w:pPr>
      <w:r w:rsidRPr="00043315">
        <w:rPr>
          <w:rStyle w:val="Fotnotereferanse"/>
          <w:sz w:val="18"/>
          <w:szCs w:val="18"/>
        </w:rPr>
        <w:footnoteRef/>
      </w:r>
      <w:r w:rsidRPr="00043315">
        <w:rPr>
          <w:sz w:val="18"/>
          <w:szCs w:val="18"/>
        </w:rPr>
        <w:t xml:space="preserve"> Omfatter offentlig administrasjon og forsvar (84 i SSB-næringsgruppering SN2007).</w:t>
      </w:r>
    </w:p>
  </w:footnote>
  <w:footnote w:id="2">
    <w:p w14:paraId="469E1C8B" w14:textId="77777777" w:rsidR="00291BE2" w:rsidRPr="00043315" w:rsidRDefault="00291BE2" w:rsidP="00AA61FD">
      <w:pPr>
        <w:pStyle w:val="Fotnotetekst"/>
        <w:rPr>
          <w:sz w:val="18"/>
          <w:szCs w:val="18"/>
        </w:rPr>
      </w:pPr>
      <w:r w:rsidRPr="00043315">
        <w:rPr>
          <w:rStyle w:val="Fotnotereferanse"/>
          <w:sz w:val="18"/>
          <w:szCs w:val="18"/>
        </w:rPr>
        <w:footnoteRef/>
      </w:r>
      <w:r w:rsidRPr="00043315">
        <w:rPr>
          <w:sz w:val="18"/>
          <w:szCs w:val="18"/>
        </w:rPr>
        <w:t xml:space="preserve"> Omfatter jordbruk (01), skogbruk (02) og (03) i SN2007. </w:t>
      </w:r>
    </w:p>
  </w:footnote>
  <w:footnote w:id="3">
    <w:p w14:paraId="3AB9CAAD" w14:textId="77777777" w:rsidR="00291BE2" w:rsidRDefault="00291BE2" w:rsidP="00AA61FD">
      <w:pPr>
        <w:pStyle w:val="Fotnotetekst"/>
      </w:pPr>
      <w:r w:rsidRPr="00FB0FDB">
        <w:rPr>
          <w:rStyle w:val="Fotnotereferanse"/>
          <w:sz w:val="18"/>
          <w:szCs w:val="18"/>
        </w:rPr>
        <w:footnoteRef/>
      </w:r>
      <w:r w:rsidRPr="00FB0FDB">
        <w:rPr>
          <w:sz w:val="18"/>
          <w:szCs w:val="18"/>
        </w:rPr>
        <w:t xml:space="preserve"> Utgiftssiden på statsbudsjettet (utenom lånetransaksjoner) utgjorde totalt 1.325 milliarder kroner i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E1FB1"/>
    <w:multiLevelType w:val="hybridMultilevel"/>
    <w:tmpl w:val="E43A340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3410BE9"/>
    <w:multiLevelType w:val="hybridMultilevel"/>
    <w:tmpl w:val="44028350"/>
    <w:lvl w:ilvl="0" w:tplc="B106C02E">
      <w:start w:val="1"/>
      <w:numFmt w:val="bullet"/>
      <w:lvlText w:val=""/>
      <w:lvlJc w:val="left"/>
      <w:pPr>
        <w:ind w:left="360" w:hanging="360"/>
      </w:pPr>
      <w:rPr>
        <w:rFonts w:ascii="Wingdings" w:hAnsi="Wingdings" w:hint="default"/>
        <w:color w:val="1F4E79" w:themeColor="accent1" w:themeShade="8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E132E10"/>
    <w:multiLevelType w:val="hybridMultilevel"/>
    <w:tmpl w:val="D31C80EC"/>
    <w:lvl w:ilvl="0" w:tplc="7678618E">
      <w:start w:val="1"/>
      <w:numFmt w:val="bullet"/>
      <w:lvlText w:val=""/>
      <w:lvlJc w:val="left"/>
      <w:pPr>
        <w:ind w:left="360" w:hanging="360"/>
      </w:pPr>
      <w:rPr>
        <w:rFonts w:ascii="Wingdings" w:hAnsi="Wingdings" w:hint="default"/>
        <w:color w:val="1F4E79" w:themeColor="accent1" w:themeShade="80"/>
        <w:spacing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2667A71"/>
    <w:multiLevelType w:val="hybridMultilevel"/>
    <w:tmpl w:val="A0205E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71068C8"/>
    <w:multiLevelType w:val="hybridMultilevel"/>
    <w:tmpl w:val="80B88B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7930762"/>
    <w:multiLevelType w:val="hybridMultilevel"/>
    <w:tmpl w:val="D5526BF0"/>
    <w:lvl w:ilvl="0" w:tplc="B106C02E">
      <w:start w:val="1"/>
      <w:numFmt w:val="bullet"/>
      <w:lvlText w:val=""/>
      <w:lvlJc w:val="left"/>
      <w:pPr>
        <w:ind w:left="720" w:hanging="360"/>
      </w:pPr>
      <w:rPr>
        <w:rFonts w:ascii="Wingdings" w:hAnsi="Wingdings" w:hint="default"/>
        <w:color w:val="1F4E79" w:themeColor="accent1" w:themeShade="8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F3D2F09"/>
    <w:multiLevelType w:val="hybridMultilevel"/>
    <w:tmpl w:val="459E0C0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23EF3C7B"/>
    <w:multiLevelType w:val="hybridMultilevel"/>
    <w:tmpl w:val="5E44E970"/>
    <w:lvl w:ilvl="0" w:tplc="B106C02E">
      <w:start w:val="1"/>
      <w:numFmt w:val="bullet"/>
      <w:lvlText w:val=""/>
      <w:lvlJc w:val="left"/>
      <w:pPr>
        <w:ind w:left="360" w:hanging="360"/>
      </w:pPr>
      <w:rPr>
        <w:rFonts w:ascii="Wingdings" w:hAnsi="Wingdings" w:hint="default"/>
        <w:color w:val="1F4E79" w:themeColor="accent1" w:themeShade="8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25D17E41"/>
    <w:multiLevelType w:val="hybridMultilevel"/>
    <w:tmpl w:val="74D6D2DE"/>
    <w:lvl w:ilvl="0" w:tplc="0414000F">
      <w:start w:val="1"/>
      <w:numFmt w:val="decimal"/>
      <w:lvlText w:val="%1."/>
      <w:lvlJc w:val="left"/>
      <w:pPr>
        <w:ind w:left="720" w:hanging="360"/>
      </w:pPr>
      <w:rPr>
        <w:rFonts w:hint="default"/>
        <w:i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9927AEC"/>
    <w:multiLevelType w:val="hybridMultilevel"/>
    <w:tmpl w:val="EE5271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A303D1A"/>
    <w:multiLevelType w:val="hybridMultilevel"/>
    <w:tmpl w:val="BBEAB88E"/>
    <w:lvl w:ilvl="0" w:tplc="B106C02E">
      <w:start w:val="1"/>
      <w:numFmt w:val="bullet"/>
      <w:lvlText w:val=""/>
      <w:lvlJc w:val="left"/>
      <w:pPr>
        <w:ind w:left="720" w:hanging="360"/>
      </w:pPr>
      <w:rPr>
        <w:rFonts w:ascii="Wingdings" w:hAnsi="Wingdings" w:hint="default"/>
        <w:color w:val="1F4E79" w:themeColor="accent1" w:themeShade="8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AB92DF5"/>
    <w:multiLevelType w:val="hybridMultilevel"/>
    <w:tmpl w:val="9DF2F6B6"/>
    <w:lvl w:ilvl="0" w:tplc="94841B50">
      <w:start w:val="1"/>
      <w:numFmt w:val="bullet"/>
      <w:lvlText w:val=""/>
      <w:lvlJc w:val="left"/>
      <w:pPr>
        <w:ind w:left="360" w:hanging="360"/>
      </w:pPr>
      <w:rPr>
        <w:rFonts w:ascii="Wingdings" w:hAnsi="Wingdings" w:hint="default"/>
        <w:color w:val="1F4E79" w:themeColor="accent1" w:themeShade="80"/>
        <w:spacing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C1A1D30"/>
    <w:multiLevelType w:val="hybridMultilevel"/>
    <w:tmpl w:val="DFA8DECC"/>
    <w:lvl w:ilvl="0" w:tplc="B106C02E">
      <w:start w:val="1"/>
      <w:numFmt w:val="bullet"/>
      <w:lvlText w:val=""/>
      <w:lvlJc w:val="left"/>
      <w:pPr>
        <w:ind w:left="720" w:hanging="360"/>
      </w:pPr>
      <w:rPr>
        <w:rFonts w:ascii="Wingdings" w:hAnsi="Wingdings" w:hint="default"/>
        <w:color w:val="1F4E79" w:themeColor="accent1" w:themeShade="8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E2A4B4A"/>
    <w:multiLevelType w:val="hybridMultilevel"/>
    <w:tmpl w:val="2E501700"/>
    <w:lvl w:ilvl="0" w:tplc="B106C02E">
      <w:start w:val="1"/>
      <w:numFmt w:val="bullet"/>
      <w:lvlText w:val=""/>
      <w:lvlJc w:val="left"/>
      <w:pPr>
        <w:ind w:left="720" w:hanging="360"/>
      </w:pPr>
      <w:rPr>
        <w:rFonts w:ascii="Wingdings" w:hAnsi="Wingdings" w:hint="default"/>
        <w:color w:val="1F4E79" w:themeColor="accent1" w:themeShade="8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E7E55E3"/>
    <w:multiLevelType w:val="hybridMultilevel"/>
    <w:tmpl w:val="48C06DE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2FCC52D7"/>
    <w:multiLevelType w:val="hybridMultilevel"/>
    <w:tmpl w:val="B49AF342"/>
    <w:lvl w:ilvl="0" w:tplc="996AEBEC">
      <w:start w:val="1"/>
      <w:numFmt w:val="bullet"/>
      <w:lvlText w:val=""/>
      <w:lvlJc w:val="left"/>
      <w:pPr>
        <w:ind w:left="360" w:hanging="360"/>
      </w:pPr>
      <w:rPr>
        <w:rFonts w:ascii="Wingdings" w:hAnsi="Wingdings" w:hint="default"/>
        <w:color w:val="5B9BD5" w:themeColor="accent1"/>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31D57CF5"/>
    <w:multiLevelType w:val="hybridMultilevel"/>
    <w:tmpl w:val="2D5CAF84"/>
    <w:lvl w:ilvl="0" w:tplc="B106C02E">
      <w:start w:val="1"/>
      <w:numFmt w:val="bullet"/>
      <w:lvlText w:val=""/>
      <w:lvlJc w:val="left"/>
      <w:pPr>
        <w:ind w:left="720" w:hanging="360"/>
      </w:pPr>
      <w:rPr>
        <w:rFonts w:ascii="Wingdings" w:hAnsi="Wingdings" w:hint="default"/>
        <w:color w:val="1F4E79" w:themeColor="accent1" w:themeShade="8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34A64C1"/>
    <w:multiLevelType w:val="hybridMultilevel"/>
    <w:tmpl w:val="02B8CA3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34AE3746"/>
    <w:multiLevelType w:val="hybridMultilevel"/>
    <w:tmpl w:val="D12863BA"/>
    <w:lvl w:ilvl="0" w:tplc="94841B50">
      <w:start w:val="1"/>
      <w:numFmt w:val="bullet"/>
      <w:lvlText w:val=""/>
      <w:lvlJc w:val="left"/>
      <w:pPr>
        <w:ind w:left="360" w:hanging="360"/>
      </w:pPr>
      <w:rPr>
        <w:rFonts w:ascii="Wingdings" w:hAnsi="Wingdings" w:hint="default"/>
        <w:color w:val="1F4E79" w:themeColor="accent1" w:themeShade="80"/>
        <w:spacing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7B71688"/>
    <w:multiLevelType w:val="hybridMultilevel"/>
    <w:tmpl w:val="14BA9722"/>
    <w:lvl w:ilvl="0" w:tplc="996AEBEC">
      <w:start w:val="1"/>
      <w:numFmt w:val="bullet"/>
      <w:lvlText w:val=""/>
      <w:lvlJc w:val="left"/>
      <w:pPr>
        <w:ind w:left="360" w:hanging="360"/>
      </w:pPr>
      <w:rPr>
        <w:rFonts w:ascii="Wingdings" w:hAnsi="Wingdings" w:hint="default"/>
        <w:color w:val="5B9BD5" w:themeColor="accent1"/>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39F819C5"/>
    <w:multiLevelType w:val="hybridMultilevel"/>
    <w:tmpl w:val="54C8D5A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3D0C3E0A"/>
    <w:multiLevelType w:val="hybridMultilevel"/>
    <w:tmpl w:val="67F6DFC4"/>
    <w:lvl w:ilvl="0" w:tplc="B106C02E">
      <w:start w:val="1"/>
      <w:numFmt w:val="bullet"/>
      <w:lvlText w:val=""/>
      <w:lvlJc w:val="left"/>
      <w:pPr>
        <w:ind w:left="720" w:hanging="360"/>
      </w:pPr>
      <w:rPr>
        <w:rFonts w:ascii="Wingdings" w:hAnsi="Wingdings" w:hint="default"/>
        <w:color w:val="1F4E79" w:themeColor="accent1" w:themeShade="8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39B666B"/>
    <w:multiLevelType w:val="hybridMultilevel"/>
    <w:tmpl w:val="B9F81826"/>
    <w:lvl w:ilvl="0" w:tplc="B106C02E">
      <w:start w:val="1"/>
      <w:numFmt w:val="bullet"/>
      <w:lvlText w:val=""/>
      <w:lvlJc w:val="left"/>
      <w:pPr>
        <w:ind w:left="360" w:hanging="360"/>
      </w:pPr>
      <w:rPr>
        <w:rFonts w:ascii="Wingdings" w:hAnsi="Wingdings" w:hint="default"/>
        <w:color w:val="1F4E79" w:themeColor="accent1" w:themeShade="8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4D805F3F"/>
    <w:multiLevelType w:val="hybridMultilevel"/>
    <w:tmpl w:val="8C74E486"/>
    <w:lvl w:ilvl="0" w:tplc="B106C02E">
      <w:start w:val="1"/>
      <w:numFmt w:val="bullet"/>
      <w:lvlText w:val=""/>
      <w:lvlJc w:val="left"/>
      <w:pPr>
        <w:ind w:left="360" w:hanging="360"/>
      </w:pPr>
      <w:rPr>
        <w:rFonts w:ascii="Wingdings" w:hAnsi="Wingdings" w:hint="default"/>
        <w:color w:val="1F4E79" w:themeColor="accent1" w:themeShade="80"/>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24" w15:restartNumberingAfterBreak="0">
    <w:nsid w:val="4E0A2468"/>
    <w:multiLevelType w:val="hybridMultilevel"/>
    <w:tmpl w:val="E9A60256"/>
    <w:lvl w:ilvl="0" w:tplc="B106C02E">
      <w:start w:val="1"/>
      <w:numFmt w:val="bullet"/>
      <w:lvlText w:val=""/>
      <w:lvlJc w:val="left"/>
      <w:pPr>
        <w:ind w:left="360" w:hanging="360"/>
      </w:pPr>
      <w:rPr>
        <w:rFonts w:ascii="Wingdings" w:hAnsi="Wingdings" w:hint="default"/>
        <w:color w:val="1F4E79" w:themeColor="accent1" w:themeShade="80"/>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25" w15:restartNumberingAfterBreak="0">
    <w:nsid w:val="50F4568A"/>
    <w:multiLevelType w:val="hybridMultilevel"/>
    <w:tmpl w:val="89FA9D5E"/>
    <w:lvl w:ilvl="0" w:tplc="B106C02E">
      <w:start w:val="1"/>
      <w:numFmt w:val="bullet"/>
      <w:lvlText w:val=""/>
      <w:lvlJc w:val="left"/>
      <w:pPr>
        <w:ind w:left="720" w:hanging="360"/>
      </w:pPr>
      <w:rPr>
        <w:rFonts w:ascii="Wingdings" w:hAnsi="Wingdings" w:hint="default"/>
        <w:color w:val="1F4E79" w:themeColor="accent1" w:themeShade="8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4993948"/>
    <w:multiLevelType w:val="hybridMultilevel"/>
    <w:tmpl w:val="96EA39C2"/>
    <w:lvl w:ilvl="0" w:tplc="25129DCA">
      <w:start w:val="1"/>
      <w:numFmt w:val="bullet"/>
      <w:lvlText w:val=""/>
      <w:lvlJc w:val="left"/>
      <w:pPr>
        <w:tabs>
          <w:tab w:val="num" w:pos="720"/>
        </w:tabs>
        <w:ind w:left="720" w:hanging="360"/>
      </w:pPr>
      <w:rPr>
        <w:rFonts w:ascii="Wingdings" w:hAnsi="Wingdings" w:hint="default"/>
      </w:rPr>
    </w:lvl>
    <w:lvl w:ilvl="1" w:tplc="C1BCD5EA" w:tentative="1">
      <w:start w:val="1"/>
      <w:numFmt w:val="bullet"/>
      <w:lvlText w:val=""/>
      <w:lvlJc w:val="left"/>
      <w:pPr>
        <w:tabs>
          <w:tab w:val="num" w:pos="1440"/>
        </w:tabs>
        <w:ind w:left="1440" w:hanging="360"/>
      </w:pPr>
      <w:rPr>
        <w:rFonts w:ascii="Wingdings" w:hAnsi="Wingdings" w:hint="default"/>
      </w:rPr>
    </w:lvl>
    <w:lvl w:ilvl="2" w:tplc="071C0A92" w:tentative="1">
      <w:start w:val="1"/>
      <w:numFmt w:val="bullet"/>
      <w:lvlText w:val=""/>
      <w:lvlJc w:val="left"/>
      <w:pPr>
        <w:tabs>
          <w:tab w:val="num" w:pos="2160"/>
        </w:tabs>
        <w:ind w:left="2160" w:hanging="360"/>
      </w:pPr>
      <w:rPr>
        <w:rFonts w:ascii="Wingdings" w:hAnsi="Wingdings" w:hint="default"/>
      </w:rPr>
    </w:lvl>
    <w:lvl w:ilvl="3" w:tplc="C1AC8CE0" w:tentative="1">
      <w:start w:val="1"/>
      <w:numFmt w:val="bullet"/>
      <w:lvlText w:val=""/>
      <w:lvlJc w:val="left"/>
      <w:pPr>
        <w:tabs>
          <w:tab w:val="num" w:pos="2880"/>
        </w:tabs>
        <w:ind w:left="2880" w:hanging="360"/>
      </w:pPr>
      <w:rPr>
        <w:rFonts w:ascii="Wingdings" w:hAnsi="Wingdings" w:hint="default"/>
      </w:rPr>
    </w:lvl>
    <w:lvl w:ilvl="4" w:tplc="E540677A" w:tentative="1">
      <w:start w:val="1"/>
      <w:numFmt w:val="bullet"/>
      <w:lvlText w:val=""/>
      <w:lvlJc w:val="left"/>
      <w:pPr>
        <w:tabs>
          <w:tab w:val="num" w:pos="3600"/>
        </w:tabs>
        <w:ind w:left="3600" w:hanging="360"/>
      </w:pPr>
      <w:rPr>
        <w:rFonts w:ascii="Wingdings" w:hAnsi="Wingdings" w:hint="default"/>
      </w:rPr>
    </w:lvl>
    <w:lvl w:ilvl="5" w:tplc="0D5CD06E" w:tentative="1">
      <w:start w:val="1"/>
      <w:numFmt w:val="bullet"/>
      <w:lvlText w:val=""/>
      <w:lvlJc w:val="left"/>
      <w:pPr>
        <w:tabs>
          <w:tab w:val="num" w:pos="4320"/>
        </w:tabs>
        <w:ind w:left="4320" w:hanging="360"/>
      </w:pPr>
      <w:rPr>
        <w:rFonts w:ascii="Wingdings" w:hAnsi="Wingdings" w:hint="default"/>
      </w:rPr>
    </w:lvl>
    <w:lvl w:ilvl="6" w:tplc="B4DE33DE" w:tentative="1">
      <w:start w:val="1"/>
      <w:numFmt w:val="bullet"/>
      <w:lvlText w:val=""/>
      <w:lvlJc w:val="left"/>
      <w:pPr>
        <w:tabs>
          <w:tab w:val="num" w:pos="5040"/>
        </w:tabs>
        <w:ind w:left="5040" w:hanging="360"/>
      </w:pPr>
      <w:rPr>
        <w:rFonts w:ascii="Wingdings" w:hAnsi="Wingdings" w:hint="default"/>
      </w:rPr>
    </w:lvl>
    <w:lvl w:ilvl="7" w:tplc="4A644520" w:tentative="1">
      <w:start w:val="1"/>
      <w:numFmt w:val="bullet"/>
      <w:lvlText w:val=""/>
      <w:lvlJc w:val="left"/>
      <w:pPr>
        <w:tabs>
          <w:tab w:val="num" w:pos="5760"/>
        </w:tabs>
        <w:ind w:left="5760" w:hanging="360"/>
      </w:pPr>
      <w:rPr>
        <w:rFonts w:ascii="Wingdings" w:hAnsi="Wingdings" w:hint="default"/>
      </w:rPr>
    </w:lvl>
    <w:lvl w:ilvl="8" w:tplc="496C076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9F6257"/>
    <w:multiLevelType w:val="hybridMultilevel"/>
    <w:tmpl w:val="CB5C37A2"/>
    <w:lvl w:ilvl="0" w:tplc="B106C02E">
      <w:start w:val="1"/>
      <w:numFmt w:val="bullet"/>
      <w:lvlText w:val=""/>
      <w:lvlJc w:val="left"/>
      <w:pPr>
        <w:ind w:left="360" w:hanging="360"/>
      </w:pPr>
      <w:rPr>
        <w:rFonts w:ascii="Wingdings" w:hAnsi="Wingdings" w:hint="default"/>
        <w:color w:val="1F4E79" w:themeColor="accent1" w:themeShade="8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59F13B90"/>
    <w:multiLevelType w:val="hybridMultilevel"/>
    <w:tmpl w:val="435ED456"/>
    <w:lvl w:ilvl="0" w:tplc="B106C02E">
      <w:start w:val="1"/>
      <w:numFmt w:val="bullet"/>
      <w:lvlText w:val=""/>
      <w:lvlJc w:val="left"/>
      <w:pPr>
        <w:ind w:left="360" w:hanging="360"/>
      </w:pPr>
      <w:rPr>
        <w:rFonts w:ascii="Wingdings" w:hAnsi="Wingdings" w:hint="default"/>
        <w:color w:val="1F4E79" w:themeColor="accent1" w:themeShade="8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5D955F67"/>
    <w:multiLevelType w:val="hybridMultilevel"/>
    <w:tmpl w:val="8494B9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29F45A0"/>
    <w:multiLevelType w:val="multilevel"/>
    <w:tmpl w:val="7D56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6130B8"/>
    <w:multiLevelType w:val="hybridMultilevel"/>
    <w:tmpl w:val="50AA0A9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60A679F"/>
    <w:multiLevelType w:val="hybridMultilevel"/>
    <w:tmpl w:val="2D7C5CE2"/>
    <w:lvl w:ilvl="0" w:tplc="B106C02E">
      <w:start w:val="1"/>
      <w:numFmt w:val="bullet"/>
      <w:lvlText w:val=""/>
      <w:lvlJc w:val="left"/>
      <w:pPr>
        <w:ind w:left="360" w:hanging="360"/>
      </w:pPr>
      <w:rPr>
        <w:rFonts w:ascii="Wingdings" w:hAnsi="Wingdings" w:hint="default"/>
        <w:color w:val="1F4E79" w:themeColor="accent1" w:themeShade="80"/>
      </w:rPr>
    </w:lvl>
    <w:lvl w:ilvl="1" w:tplc="04140003">
      <w:start w:val="1"/>
      <w:numFmt w:val="bullet"/>
      <w:lvlText w:val="o"/>
      <w:lvlJc w:val="left"/>
      <w:pPr>
        <w:ind w:left="1080" w:hanging="360"/>
      </w:pPr>
      <w:rPr>
        <w:rFonts w:ascii="Courier New" w:hAnsi="Courier New" w:cs="Courier New" w:hint="default"/>
        <w:color w:val="1F4E79" w:themeColor="accent1" w:themeShade="80"/>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33" w15:restartNumberingAfterBreak="0">
    <w:nsid w:val="683B7F28"/>
    <w:multiLevelType w:val="hybridMultilevel"/>
    <w:tmpl w:val="D9A40D86"/>
    <w:lvl w:ilvl="0" w:tplc="B106C02E">
      <w:start w:val="1"/>
      <w:numFmt w:val="bullet"/>
      <w:lvlText w:val=""/>
      <w:lvlJc w:val="left"/>
      <w:pPr>
        <w:ind w:left="720" w:hanging="360"/>
      </w:pPr>
      <w:rPr>
        <w:rFonts w:ascii="Wingdings" w:hAnsi="Wingdings" w:hint="default"/>
        <w:color w:val="1F4E79" w:themeColor="accent1" w:themeShade="8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8AF59EC"/>
    <w:multiLevelType w:val="hybridMultilevel"/>
    <w:tmpl w:val="DEACFFB2"/>
    <w:lvl w:ilvl="0" w:tplc="7B0012DC">
      <w:start w:val="62"/>
      <w:numFmt w:val="bullet"/>
      <w:lvlText w:val=""/>
      <w:lvlJc w:val="left"/>
      <w:pPr>
        <w:ind w:left="720" w:hanging="360"/>
      </w:pPr>
      <w:rPr>
        <w:rFonts w:ascii="Symbol" w:eastAsiaTheme="majorEastAsia" w:hAnsi="Symbol" w:cstheme="maj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0912CB9"/>
    <w:multiLevelType w:val="hybridMultilevel"/>
    <w:tmpl w:val="FA067D34"/>
    <w:lvl w:ilvl="0" w:tplc="B106C02E">
      <w:start w:val="1"/>
      <w:numFmt w:val="bullet"/>
      <w:lvlText w:val=""/>
      <w:lvlJc w:val="left"/>
      <w:pPr>
        <w:ind w:left="720" w:hanging="360"/>
      </w:pPr>
      <w:rPr>
        <w:rFonts w:ascii="Wingdings" w:hAnsi="Wingdings" w:hint="default"/>
        <w:color w:val="1F4E79" w:themeColor="accent1" w:themeShade="8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59F1782"/>
    <w:multiLevelType w:val="hybridMultilevel"/>
    <w:tmpl w:val="C836439C"/>
    <w:lvl w:ilvl="0" w:tplc="952E8098">
      <w:start w:val="1"/>
      <w:numFmt w:val="bullet"/>
      <w:lvlText w:val=""/>
      <w:lvlJc w:val="left"/>
      <w:pPr>
        <w:ind w:left="360" w:hanging="360"/>
      </w:pPr>
      <w:rPr>
        <w:rFonts w:ascii="Wingdings" w:hAnsi="Wingdings" w:hint="default"/>
        <w:color w:val="1F4E79" w:themeColor="accent1" w:themeShade="80"/>
        <w:spacing w:val="-2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34"/>
  </w:num>
  <w:num w:numId="2">
    <w:abstractNumId w:val="9"/>
  </w:num>
  <w:num w:numId="3">
    <w:abstractNumId w:val="3"/>
  </w:num>
  <w:num w:numId="4">
    <w:abstractNumId w:val="28"/>
  </w:num>
  <w:num w:numId="5">
    <w:abstractNumId w:val="30"/>
  </w:num>
  <w:num w:numId="6">
    <w:abstractNumId w:val="7"/>
  </w:num>
  <w:num w:numId="7">
    <w:abstractNumId w:val="4"/>
  </w:num>
  <w:num w:numId="8">
    <w:abstractNumId w:val="33"/>
  </w:num>
  <w:num w:numId="9">
    <w:abstractNumId w:val="8"/>
  </w:num>
  <w:num w:numId="10">
    <w:abstractNumId w:val="0"/>
  </w:num>
  <w:num w:numId="11">
    <w:abstractNumId w:val="14"/>
  </w:num>
  <w:num w:numId="12">
    <w:abstractNumId w:val="22"/>
  </w:num>
  <w:num w:numId="13">
    <w:abstractNumId w:val="1"/>
  </w:num>
  <w:num w:numId="14">
    <w:abstractNumId w:val="19"/>
  </w:num>
  <w:num w:numId="15">
    <w:abstractNumId w:val="15"/>
  </w:num>
  <w:num w:numId="16">
    <w:abstractNumId w:val="27"/>
  </w:num>
  <w:num w:numId="17">
    <w:abstractNumId w:val="36"/>
  </w:num>
  <w:num w:numId="18">
    <w:abstractNumId w:val="2"/>
  </w:num>
  <w:num w:numId="19">
    <w:abstractNumId w:val="11"/>
  </w:num>
  <w:num w:numId="20">
    <w:abstractNumId w:val="18"/>
  </w:num>
  <w:num w:numId="21">
    <w:abstractNumId w:val="13"/>
  </w:num>
  <w:num w:numId="22">
    <w:abstractNumId w:val="12"/>
  </w:num>
  <w:num w:numId="23">
    <w:abstractNumId w:val="25"/>
  </w:num>
  <w:num w:numId="24">
    <w:abstractNumId w:val="5"/>
  </w:num>
  <w:num w:numId="25">
    <w:abstractNumId w:val="16"/>
  </w:num>
  <w:num w:numId="26">
    <w:abstractNumId w:val="35"/>
  </w:num>
  <w:num w:numId="27">
    <w:abstractNumId w:val="10"/>
  </w:num>
  <w:num w:numId="28">
    <w:abstractNumId w:val="21"/>
  </w:num>
  <w:num w:numId="29">
    <w:abstractNumId w:val="32"/>
  </w:num>
  <w:num w:numId="30">
    <w:abstractNumId w:val="24"/>
  </w:num>
  <w:num w:numId="31">
    <w:abstractNumId w:val="23"/>
  </w:num>
  <w:num w:numId="32">
    <w:abstractNumId w:val="31"/>
  </w:num>
  <w:num w:numId="33">
    <w:abstractNumId w:val="26"/>
  </w:num>
  <w:num w:numId="34">
    <w:abstractNumId w:val="6"/>
  </w:num>
  <w:num w:numId="35">
    <w:abstractNumId w:val="17"/>
  </w:num>
  <w:num w:numId="36">
    <w:abstractNumId w:val="29"/>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E56"/>
    <w:rsid w:val="00003646"/>
    <w:rsid w:val="00007643"/>
    <w:rsid w:val="0003041E"/>
    <w:rsid w:val="000366F8"/>
    <w:rsid w:val="00050EA4"/>
    <w:rsid w:val="000539B3"/>
    <w:rsid w:val="00080758"/>
    <w:rsid w:val="0008534C"/>
    <w:rsid w:val="00096F71"/>
    <w:rsid w:val="000C0902"/>
    <w:rsid w:val="000C2F40"/>
    <w:rsid w:val="000E2A6D"/>
    <w:rsid w:val="00102DDA"/>
    <w:rsid w:val="001404F2"/>
    <w:rsid w:val="00160A88"/>
    <w:rsid w:val="00164098"/>
    <w:rsid w:val="00175339"/>
    <w:rsid w:val="00191F07"/>
    <w:rsid w:val="001A5D19"/>
    <w:rsid w:val="001B4B55"/>
    <w:rsid w:val="001B6B0D"/>
    <w:rsid w:val="001D1940"/>
    <w:rsid w:val="001F7A15"/>
    <w:rsid w:val="0020345D"/>
    <w:rsid w:val="002119DB"/>
    <w:rsid w:val="00225C8A"/>
    <w:rsid w:val="002266FD"/>
    <w:rsid w:val="002363B3"/>
    <w:rsid w:val="002417F5"/>
    <w:rsid w:val="002432E0"/>
    <w:rsid w:val="00245AEE"/>
    <w:rsid w:val="00264226"/>
    <w:rsid w:val="0027788F"/>
    <w:rsid w:val="0029080B"/>
    <w:rsid w:val="00291BE2"/>
    <w:rsid w:val="002D1E12"/>
    <w:rsid w:val="002E2506"/>
    <w:rsid w:val="002F6DE4"/>
    <w:rsid w:val="002F7BDA"/>
    <w:rsid w:val="00310790"/>
    <w:rsid w:val="003111F8"/>
    <w:rsid w:val="0031265F"/>
    <w:rsid w:val="00320E29"/>
    <w:rsid w:val="00321ED5"/>
    <w:rsid w:val="00336BA9"/>
    <w:rsid w:val="00343559"/>
    <w:rsid w:val="0034483A"/>
    <w:rsid w:val="00351C9A"/>
    <w:rsid w:val="00360F0D"/>
    <w:rsid w:val="00377B0F"/>
    <w:rsid w:val="0038178C"/>
    <w:rsid w:val="00397BE7"/>
    <w:rsid w:val="003B25A7"/>
    <w:rsid w:val="003B2CB7"/>
    <w:rsid w:val="003C65DD"/>
    <w:rsid w:val="003E1548"/>
    <w:rsid w:val="003E7176"/>
    <w:rsid w:val="00412AB8"/>
    <w:rsid w:val="00424879"/>
    <w:rsid w:val="00434722"/>
    <w:rsid w:val="00441DA8"/>
    <w:rsid w:val="004443A9"/>
    <w:rsid w:val="00456E19"/>
    <w:rsid w:val="00457587"/>
    <w:rsid w:val="004578C8"/>
    <w:rsid w:val="00475E56"/>
    <w:rsid w:val="00477532"/>
    <w:rsid w:val="004924A9"/>
    <w:rsid w:val="004B0C9A"/>
    <w:rsid w:val="004E2DF2"/>
    <w:rsid w:val="004E3FEE"/>
    <w:rsid w:val="004E402A"/>
    <w:rsid w:val="004F215C"/>
    <w:rsid w:val="004F5651"/>
    <w:rsid w:val="00505CA3"/>
    <w:rsid w:val="00513257"/>
    <w:rsid w:val="00525E69"/>
    <w:rsid w:val="00554C2C"/>
    <w:rsid w:val="00567E1B"/>
    <w:rsid w:val="00573651"/>
    <w:rsid w:val="00573916"/>
    <w:rsid w:val="00574BAD"/>
    <w:rsid w:val="0058003E"/>
    <w:rsid w:val="005809A0"/>
    <w:rsid w:val="005C2669"/>
    <w:rsid w:val="005F0A28"/>
    <w:rsid w:val="005F2B92"/>
    <w:rsid w:val="005F50C8"/>
    <w:rsid w:val="0061054A"/>
    <w:rsid w:val="0063340C"/>
    <w:rsid w:val="00653311"/>
    <w:rsid w:val="00653866"/>
    <w:rsid w:val="006A401A"/>
    <w:rsid w:val="006E2458"/>
    <w:rsid w:val="006F3173"/>
    <w:rsid w:val="007770BF"/>
    <w:rsid w:val="00786DE2"/>
    <w:rsid w:val="00793478"/>
    <w:rsid w:val="007A7FC8"/>
    <w:rsid w:val="007B416C"/>
    <w:rsid w:val="007D2E14"/>
    <w:rsid w:val="007E27D2"/>
    <w:rsid w:val="008241FB"/>
    <w:rsid w:val="00825FA9"/>
    <w:rsid w:val="008451A7"/>
    <w:rsid w:val="008746CA"/>
    <w:rsid w:val="008801C6"/>
    <w:rsid w:val="008A338F"/>
    <w:rsid w:val="008B3D97"/>
    <w:rsid w:val="008B6D1B"/>
    <w:rsid w:val="008C19CB"/>
    <w:rsid w:val="008C2545"/>
    <w:rsid w:val="008D7E05"/>
    <w:rsid w:val="008E347D"/>
    <w:rsid w:val="00901C48"/>
    <w:rsid w:val="00917CC8"/>
    <w:rsid w:val="00945B0D"/>
    <w:rsid w:val="009608D9"/>
    <w:rsid w:val="00972F97"/>
    <w:rsid w:val="009926B4"/>
    <w:rsid w:val="009A0D5A"/>
    <w:rsid w:val="009A2C6B"/>
    <w:rsid w:val="009A499C"/>
    <w:rsid w:val="009A6A52"/>
    <w:rsid w:val="009C05A8"/>
    <w:rsid w:val="009D2B34"/>
    <w:rsid w:val="009E58D2"/>
    <w:rsid w:val="00A041A8"/>
    <w:rsid w:val="00A140A6"/>
    <w:rsid w:val="00A14F8E"/>
    <w:rsid w:val="00A24B85"/>
    <w:rsid w:val="00A3232E"/>
    <w:rsid w:val="00A45E75"/>
    <w:rsid w:val="00A5156F"/>
    <w:rsid w:val="00A87FEE"/>
    <w:rsid w:val="00A921A8"/>
    <w:rsid w:val="00A97E89"/>
    <w:rsid w:val="00AA2EAB"/>
    <w:rsid w:val="00AA4BD1"/>
    <w:rsid w:val="00AA61FD"/>
    <w:rsid w:val="00AC10BC"/>
    <w:rsid w:val="00AF6584"/>
    <w:rsid w:val="00B00CD2"/>
    <w:rsid w:val="00B15E8C"/>
    <w:rsid w:val="00B30364"/>
    <w:rsid w:val="00B30E5A"/>
    <w:rsid w:val="00B43C66"/>
    <w:rsid w:val="00B52E26"/>
    <w:rsid w:val="00B77027"/>
    <w:rsid w:val="00B83A02"/>
    <w:rsid w:val="00B91732"/>
    <w:rsid w:val="00B96CE9"/>
    <w:rsid w:val="00BA05C8"/>
    <w:rsid w:val="00BB47D4"/>
    <w:rsid w:val="00BC0E64"/>
    <w:rsid w:val="00BC780C"/>
    <w:rsid w:val="00BD1ADA"/>
    <w:rsid w:val="00BF1486"/>
    <w:rsid w:val="00C046E6"/>
    <w:rsid w:val="00C15CCD"/>
    <w:rsid w:val="00C162C4"/>
    <w:rsid w:val="00C22597"/>
    <w:rsid w:val="00C25A9A"/>
    <w:rsid w:val="00C34156"/>
    <w:rsid w:val="00C35631"/>
    <w:rsid w:val="00C37216"/>
    <w:rsid w:val="00C6656C"/>
    <w:rsid w:val="00C71C1A"/>
    <w:rsid w:val="00C82076"/>
    <w:rsid w:val="00C932BD"/>
    <w:rsid w:val="00CA15DA"/>
    <w:rsid w:val="00CE009D"/>
    <w:rsid w:val="00CE1902"/>
    <w:rsid w:val="00CF0856"/>
    <w:rsid w:val="00CF0CC7"/>
    <w:rsid w:val="00CF1C52"/>
    <w:rsid w:val="00CF2BAF"/>
    <w:rsid w:val="00D05801"/>
    <w:rsid w:val="00D14370"/>
    <w:rsid w:val="00D20669"/>
    <w:rsid w:val="00D62118"/>
    <w:rsid w:val="00D95E8A"/>
    <w:rsid w:val="00DB2FE2"/>
    <w:rsid w:val="00DB5CB7"/>
    <w:rsid w:val="00DD2610"/>
    <w:rsid w:val="00DD4D51"/>
    <w:rsid w:val="00DE7A57"/>
    <w:rsid w:val="00DF2681"/>
    <w:rsid w:val="00E00EEA"/>
    <w:rsid w:val="00E01B55"/>
    <w:rsid w:val="00E22B0E"/>
    <w:rsid w:val="00E267EF"/>
    <w:rsid w:val="00E31337"/>
    <w:rsid w:val="00E31C3B"/>
    <w:rsid w:val="00E404DB"/>
    <w:rsid w:val="00E83AFA"/>
    <w:rsid w:val="00E90D92"/>
    <w:rsid w:val="00E93605"/>
    <w:rsid w:val="00EC12A9"/>
    <w:rsid w:val="00ED2FC1"/>
    <w:rsid w:val="00EE00C8"/>
    <w:rsid w:val="00EE3033"/>
    <w:rsid w:val="00EF1AEA"/>
    <w:rsid w:val="00F1266E"/>
    <w:rsid w:val="00F16E7D"/>
    <w:rsid w:val="00F224A6"/>
    <w:rsid w:val="00F359D5"/>
    <w:rsid w:val="00F3620E"/>
    <w:rsid w:val="00FC7F88"/>
    <w:rsid w:val="00FD540B"/>
    <w:rsid w:val="00FD67B1"/>
    <w:rsid w:val="00FE4938"/>
    <w:rsid w:val="00FE7FD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18E7D"/>
  <w15:chartTrackingRefBased/>
  <w15:docId w15:val="{A27F762C-03FD-4905-BDB6-07B1B53EC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5A7"/>
    <w:pPr>
      <w:spacing w:after="0" w:line="360" w:lineRule="auto"/>
    </w:pPr>
    <w:rPr>
      <w:rFonts w:ascii="Century Gothic" w:hAnsi="Century Gothic"/>
      <w:sz w:val="21"/>
    </w:rPr>
  </w:style>
  <w:style w:type="paragraph" w:styleId="Overskrift1">
    <w:name w:val="heading 1"/>
    <w:basedOn w:val="Normal"/>
    <w:next w:val="Normal"/>
    <w:link w:val="Overskrift1Tegn"/>
    <w:uiPriority w:val="9"/>
    <w:qFormat/>
    <w:rsid w:val="00DD2610"/>
    <w:pPr>
      <w:keepNext/>
      <w:keepLines/>
      <w:spacing w:before="240"/>
      <w:outlineLvl w:val="0"/>
    </w:pPr>
    <w:rPr>
      <w:rFonts w:eastAsiaTheme="majorEastAsia" w:cstheme="majorBidi"/>
      <w:b/>
      <w:color w:val="2E74B5" w:themeColor="accent1" w:themeShade="BF"/>
      <w:sz w:val="32"/>
      <w:szCs w:val="32"/>
    </w:rPr>
  </w:style>
  <w:style w:type="paragraph" w:styleId="Overskrift2">
    <w:name w:val="heading 2"/>
    <w:basedOn w:val="Normal"/>
    <w:next w:val="Normal"/>
    <w:link w:val="Overskrift2Tegn"/>
    <w:uiPriority w:val="9"/>
    <w:unhideWhenUsed/>
    <w:qFormat/>
    <w:rsid w:val="00EC12A9"/>
    <w:pPr>
      <w:keepNext/>
      <w:keepLines/>
      <w:spacing w:before="40"/>
      <w:outlineLvl w:val="1"/>
    </w:pPr>
    <w:rPr>
      <w:rFonts w:eastAsiaTheme="majorEastAsia" w:cstheme="majorBidi"/>
      <w:b/>
      <w:color w:val="2E74B5" w:themeColor="accent1" w:themeShade="BF"/>
      <w:sz w:val="26"/>
      <w:szCs w:val="26"/>
    </w:rPr>
  </w:style>
  <w:style w:type="paragraph" w:styleId="Overskrift3">
    <w:name w:val="heading 3"/>
    <w:basedOn w:val="Normal"/>
    <w:next w:val="Normal"/>
    <w:link w:val="Overskrift3Tegn"/>
    <w:uiPriority w:val="9"/>
    <w:unhideWhenUsed/>
    <w:qFormat/>
    <w:rsid w:val="00EC12A9"/>
    <w:pPr>
      <w:keepNext/>
      <w:keepLines/>
      <w:spacing w:before="40"/>
      <w:outlineLvl w:val="2"/>
    </w:pPr>
    <w:rPr>
      <w:rFonts w:eastAsiaTheme="majorEastAsia" w:cstheme="majorBidi"/>
      <w:b/>
      <w:color w:val="1F4D78" w:themeColor="accent1" w:themeShade="7F"/>
      <w:sz w:val="24"/>
      <w:szCs w:val="24"/>
    </w:rPr>
  </w:style>
  <w:style w:type="paragraph" w:styleId="Overskrift4">
    <w:name w:val="heading 4"/>
    <w:basedOn w:val="Normal"/>
    <w:next w:val="Normal"/>
    <w:link w:val="Overskrift4Tegn"/>
    <w:uiPriority w:val="9"/>
    <w:unhideWhenUsed/>
    <w:qFormat/>
    <w:rsid w:val="00AA61FD"/>
    <w:pPr>
      <w:keepNext/>
      <w:keepLines/>
      <w:spacing w:before="40"/>
      <w:jc w:val="both"/>
      <w:outlineLvl w:val="3"/>
    </w:pPr>
    <w:rPr>
      <w:rFonts w:asciiTheme="majorHAnsi" w:eastAsiaTheme="majorEastAsia" w:hAnsiTheme="majorHAnsi" w:cstheme="majorBidi"/>
      <w:i/>
      <w:iCs/>
      <w:color w:val="2E74B5" w:themeColor="accent1" w:themeShade="BF"/>
      <w:sz w:val="20"/>
    </w:rPr>
  </w:style>
  <w:style w:type="paragraph" w:styleId="Overskrift5">
    <w:name w:val="heading 5"/>
    <w:basedOn w:val="Normal"/>
    <w:next w:val="Normal"/>
    <w:link w:val="Overskrift5Tegn"/>
    <w:uiPriority w:val="9"/>
    <w:unhideWhenUsed/>
    <w:qFormat/>
    <w:rsid w:val="00AA61FD"/>
    <w:pPr>
      <w:keepNext/>
      <w:keepLines/>
      <w:spacing w:before="40"/>
      <w:jc w:val="both"/>
      <w:outlineLvl w:val="4"/>
    </w:pPr>
    <w:rPr>
      <w:rFonts w:asciiTheme="majorHAnsi" w:eastAsiaTheme="majorEastAsia" w:hAnsiTheme="majorHAnsi" w:cstheme="majorBidi"/>
      <w:color w:val="2E74B5" w:themeColor="accent1" w:themeShade="BF"/>
      <w:sz w:val="20"/>
    </w:rPr>
  </w:style>
  <w:style w:type="paragraph" w:styleId="Overskrift6">
    <w:name w:val="heading 6"/>
    <w:basedOn w:val="Normal"/>
    <w:next w:val="Normal"/>
    <w:link w:val="Overskrift6Tegn"/>
    <w:uiPriority w:val="9"/>
    <w:unhideWhenUsed/>
    <w:qFormat/>
    <w:rsid w:val="00AA61FD"/>
    <w:pPr>
      <w:keepNext/>
      <w:keepLines/>
      <w:spacing w:before="40"/>
      <w:jc w:val="both"/>
      <w:outlineLvl w:val="5"/>
    </w:pPr>
    <w:rPr>
      <w:rFonts w:asciiTheme="majorHAnsi" w:eastAsiaTheme="majorEastAsia" w:hAnsiTheme="majorHAnsi" w:cstheme="majorBidi"/>
      <w:color w:val="1F4D78" w:themeColor="accent1" w:themeShade="7F"/>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D2610"/>
    <w:rPr>
      <w:rFonts w:ascii="Century Gothic" w:eastAsiaTheme="majorEastAsia" w:hAnsi="Century Gothic" w:cstheme="majorBidi"/>
      <w:b/>
      <w:color w:val="2E74B5" w:themeColor="accent1" w:themeShade="BF"/>
      <w:sz w:val="32"/>
      <w:szCs w:val="32"/>
    </w:rPr>
  </w:style>
  <w:style w:type="character" w:customStyle="1" w:styleId="Overskrift2Tegn">
    <w:name w:val="Overskrift 2 Tegn"/>
    <w:basedOn w:val="Standardskriftforavsnitt"/>
    <w:link w:val="Overskrift2"/>
    <w:uiPriority w:val="9"/>
    <w:rsid w:val="00EC12A9"/>
    <w:rPr>
      <w:rFonts w:ascii="Century Gothic" w:eastAsiaTheme="majorEastAsia" w:hAnsi="Century Gothic" w:cstheme="majorBidi"/>
      <w:b/>
      <w:color w:val="2E74B5" w:themeColor="accent1" w:themeShade="BF"/>
      <w:sz w:val="26"/>
      <w:szCs w:val="26"/>
    </w:rPr>
  </w:style>
  <w:style w:type="character" w:customStyle="1" w:styleId="Overskrift3Tegn">
    <w:name w:val="Overskrift 3 Tegn"/>
    <w:basedOn w:val="Standardskriftforavsnitt"/>
    <w:link w:val="Overskrift3"/>
    <w:uiPriority w:val="9"/>
    <w:rsid w:val="00EC12A9"/>
    <w:rPr>
      <w:rFonts w:ascii="Century Gothic" w:eastAsiaTheme="majorEastAsia" w:hAnsi="Century Gothic" w:cstheme="majorBidi"/>
      <w:b/>
      <w:color w:val="1F4D78" w:themeColor="accent1" w:themeShade="7F"/>
      <w:sz w:val="24"/>
      <w:szCs w:val="24"/>
    </w:rPr>
  </w:style>
  <w:style w:type="character" w:styleId="Sterk">
    <w:name w:val="Strong"/>
    <w:aliases w:val="Figur og tabell"/>
    <w:basedOn w:val="Standardskriftforavsnitt"/>
    <w:uiPriority w:val="22"/>
    <w:qFormat/>
    <w:rsid w:val="00343559"/>
    <w:rPr>
      <w:rFonts w:ascii="Century Gothic" w:hAnsi="Century Gothic"/>
      <w:b/>
      <w:bCs/>
      <w:sz w:val="16"/>
    </w:rPr>
  </w:style>
  <w:style w:type="paragraph" w:styleId="Bildetekst">
    <w:name w:val="caption"/>
    <w:basedOn w:val="Normal"/>
    <w:next w:val="Normal"/>
    <w:uiPriority w:val="35"/>
    <w:unhideWhenUsed/>
    <w:qFormat/>
    <w:rsid w:val="00C25A9A"/>
    <w:pPr>
      <w:spacing w:after="200" w:line="240" w:lineRule="auto"/>
    </w:pPr>
    <w:rPr>
      <w:b/>
      <w:iCs/>
      <w:sz w:val="18"/>
      <w:szCs w:val="18"/>
    </w:rPr>
  </w:style>
  <w:style w:type="paragraph" w:styleId="Bobletekst">
    <w:name w:val="Balloon Text"/>
    <w:basedOn w:val="Normal"/>
    <w:link w:val="BobletekstTegn"/>
    <w:uiPriority w:val="99"/>
    <w:semiHidden/>
    <w:unhideWhenUsed/>
    <w:rsid w:val="0063340C"/>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3340C"/>
    <w:rPr>
      <w:rFonts w:ascii="Segoe UI" w:hAnsi="Segoe UI" w:cs="Segoe UI"/>
      <w:sz w:val="18"/>
      <w:szCs w:val="18"/>
    </w:rPr>
  </w:style>
  <w:style w:type="table" w:styleId="Tabellrutenett">
    <w:name w:val="Table Grid"/>
    <w:basedOn w:val="Vanligtabell"/>
    <w:uiPriority w:val="39"/>
    <w:rsid w:val="00336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foravsnitt"/>
    <w:link w:val="Overskrift4"/>
    <w:uiPriority w:val="9"/>
    <w:rsid w:val="00AA61FD"/>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foravsnitt"/>
    <w:link w:val="Overskrift5"/>
    <w:uiPriority w:val="9"/>
    <w:rsid w:val="00AA61FD"/>
    <w:rPr>
      <w:rFonts w:asciiTheme="majorHAnsi" w:eastAsiaTheme="majorEastAsia" w:hAnsiTheme="majorHAnsi" w:cstheme="majorBidi"/>
      <w:color w:val="2E74B5" w:themeColor="accent1" w:themeShade="BF"/>
      <w:sz w:val="20"/>
    </w:rPr>
  </w:style>
  <w:style w:type="character" w:customStyle="1" w:styleId="Overskrift6Tegn">
    <w:name w:val="Overskrift 6 Tegn"/>
    <w:basedOn w:val="Standardskriftforavsnitt"/>
    <w:link w:val="Overskrift6"/>
    <w:uiPriority w:val="9"/>
    <w:rsid w:val="00AA61FD"/>
    <w:rPr>
      <w:rFonts w:asciiTheme="majorHAnsi" w:eastAsiaTheme="majorEastAsia" w:hAnsiTheme="majorHAnsi" w:cstheme="majorBidi"/>
      <w:color w:val="1F4D78" w:themeColor="accent1" w:themeShade="7F"/>
      <w:sz w:val="20"/>
    </w:rPr>
  </w:style>
  <w:style w:type="paragraph" w:customStyle="1" w:styleId="Nyttkapittel">
    <w:name w:val="Nytt kapittel"/>
    <w:basedOn w:val="Normal"/>
    <w:qFormat/>
    <w:rsid w:val="00AA61FD"/>
    <w:pPr>
      <w:jc w:val="center"/>
    </w:pPr>
    <w:rPr>
      <w:rFonts w:eastAsiaTheme="minorEastAsia"/>
      <w:b/>
      <w:sz w:val="60"/>
      <w:szCs w:val="48"/>
    </w:rPr>
  </w:style>
  <w:style w:type="paragraph" w:customStyle="1" w:styleId="Kapitteltekst">
    <w:name w:val="Kapitteltekst"/>
    <w:basedOn w:val="Normal"/>
    <w:autoRedefine/>
    <w:qFormat/>
    <w:rsid w:val="00AA61FD"/>
    <w:pPr>
      <w:jc w:val="both"/>
    </w:pPr>
    <w:rPr>
      <w:rFonts w:eastAsiaTheme="minorEastAsia"/>
      <w:b/>
      <w:bCs/>
      <w:iCs/>
      <w:sz w:val="22"/>
      <w:szCs w:val="36"/>
    </w:rPr>
  </w:style>
  <w:style w:type="paragraph" w:customStyle="1" w:styleId="Tittel2">
    <w:name w:val="Tittel 2"/>
    <w:basedOn w:val="Normal"/>
    <w:link w:val="Tittel2Tegn"/>
    <w:qFormat/>
    <w:rsid w:val="00AA61FD"/>
    <w:pPr>
      <w:jc w:val="both"/>
    </w:pPr>
    <w:rPr>
      <w:b/>
      <w:iCs/>
      <w:color w:val="2E74B5" w:themeColor="accent1" w:themeShade="BF"/>
      <w:sz w:val="28"/>
    </w:rPr>
  </w:style>
  <w:style w:type="character" w:customStyle="1" w:styleId="Tittel2Tegn">
    <w:name w:val="Tittel 2 Tegn"/>
    <w:basedOn w:val="Standardskriftforavsnitt"/>
    <w:link w:val="Tittel2"/>
    <w:rsid w:val="00AA61FD"/>
    <w:rPr>
      <w:rFonts w:ascii="Century Gothic" w:hAnsi="Century Gothic"/>
      <w:b/>
      <w:iCs/>
      <w:color w:val="2E74B5" w:themeColor="accent1" w:themeShade="BF"/>
      <w:sz w:val="28"/>
    </w:rPr>
  </w:style>
  <w:style w:type="paragraph" w:customStyle="1" w:styleId="Overskrift">
    <w:name w:val="Overskrift"/>
    <w:next w:val="Normal"/>
    <w:link w:val="OverskriftTegn"/>
    <w:rsid w:val="00AA61FD"/>
    <w:pPr>
      <w:widowControl w:val="0"/>
      <w:spacing w:after="200" w:line="288" w:lineRule="auto"/>
    </w:pPr>
    <w:rPr>
      <w:rFonts w:ascii="Calibri" w:eastAsiaTheme="majorEastAsia" w:hAnsi="Calibri" w:cstheme="majorBidi"/>
      <w:b/>
      <w:bCs/>
      <w:color w:val="4664AA"/>
      <w:sz w:val="40"/>
      <w:szCs w:val="28"/>
      <w:lang w:eastAsia="nb-NO"/>
    </w:rPr>
  </w:style>
  <w:style w:type="character" w:customStyle="1" w:styleId="OverskriftTegn">
    <w:name w:val="Overskrift Tegn"/>
    <w:basedOn w:val="Overskrift1Tegn"/>
    <w:link w:val="Overskrift"/>
    <w:rsid w:val="00AA61FD"/>
    <w:rPr>
      <w:rFonts w:ascii="Calibri" w:eastAsiaTheme="majorEastAsia" w:hAnsi="Calibri" w:cstheme="majorBidi"/>
      <w:b/>
      <w:bCs/>
      <w:color w:val="4664AA"/>
      <w:sz w:val="40"/>
      <w:szCs w:val="28"/>
      <w:lang w:eastAsia="nb-NO"/>
    </w:rPr>
  </w:style>
  <w:style w:type="paragraph" w:styleId="Overskriftforinnholdsfortegnelse">
    <w:name w:val="TOC Heading"/>
    <w:basedOn w:val="Overskrift1"/>
    <w:next w:val="Normal"/>
    <w:uiPriority w:val="39"/>
    <w:unhideWhenUsed/>
    <w:qFormat/>
    <w:rsid w:val="00AA61FD"/>
    <w:pPr>
      <w:spacing w:before="480" w:line="276" w:lineRule="auto"/>
      <w:outlineLvl w:val="9"/>
    </w:pPr>
    <w:rPr>
      <w:rFonts w:asciiTheme="majorHAnsi" w:hAnsiTheme="majorHAnsi"/>
      <w:bCs/>
      <w:sz w:val="28"/>
      <w:szCs w:val="28"/>
      <w:lang w:eastAsia="nb-NO"/>
    </w:rPr>
  </w:style>
  <w:style w:type="paragraph" w:styleId="INNH1">
    <w:name w:val="toc 1"/>
    <w:basedOn w:val="Normal"/>
    <w:next w:val="Normal"/>
    <w:autoRedefine/>
    <w:uiPriority w:val="39"/>
    <w:unhideWhenUsed/>
    <w:rsid w:val="00AA61FD"/>
    <w:pPr>
      <w:spacing w:before="240" w:after="120"/>
    </w:pPr>
    <w:rPr>
      <w:rFonts w:cstheme="minorHAnsi"/>
      <w:bCs/>
      <w:sz w:val="20"/>
      <w:szCs w:val="20"/>
    </w:rPr>
  </w:style>
  <w:style w:type="character" w:styleId="Hyperkobling">
    <w:name w:val="Hyperlink"/>
    <w:basedOn w:val="Standardskriftforavsnitt"/>
    <w:uiPriority w:val="99"/>
    <w:unhideWhenUsed/>
    <w:rsid w:val="00AA61FD"/>
    <w:rPr>
      <w:color w:val="0563C1" w:themeColor="hyperlink"/>
      <w:u w:val="single"/>
    </w:rPr>
  </w:style>
  <w:style w:type="paragraph" w:styleId="INNH2">
    <w:name w:val="toc 2"/>
    <w:basedOn w:val="Normal"/>
    <w:next w:val="Normal"/>
    <w:autoRedefine/>
    <w:uiPriority w:val="39"/>
    <w:unhideWhenUsed/>
    <w:rsid w:val="00320E29"/>
    <w:pPr>
      <w:tabs>
        <w:tab w:val="right" w:leader="dot" w:pos="9062"/>
      </w:tabs>
      <w:spacing w:before="120"/>
    </w:pPr>
    <w:rPr>
      <w:rFonts w:cstheme="minorHAnsi"/>
      <w:iCs/>
      <w:sz w:val="20"/>
      <w:szCs w:val="20"/>
    </w:rPr>
  </w:style>
  <w:style w:type="paragraph" w:styleId="INNH3">
    <w:name w:val="toc 3"/>
    <w:basedOn w:val="Normal"/>
    <w:next w:val="Normal"/>
    <w:autoRedefine/>
    <w:uiPriority w:val="39"/>
    <w:unhideWhenUsed/>
    <w:rsid w:val="00AA61FD"/>
    <w:pPr>
      <w:ind w:left="420"/>
    </w:pPr>
    <w:rPr>
      <w:rFonts w:asciiTheme="minorHAnsi" w:hAnsiTheme="minorHAnsi" w:cstheme="minorHAnsi"/>
      <w:sz w:val="20"/>
      <w:szCs w:val="20"/>
    </w:rPr>
  </w:style>
  <w:style w:type="paragraph" w:styleId="INNH4">
    <w:name w:val="toc 4"/>
    <w:basedOn w:val="Normal"/>
    <w:next w:val="Normal"/>
    <w:autoRedefine/>
    <w:uiPriority w:val="39"/>
    <w:semiHidden/>
    <w:unhideWhenUsed/>
    <w:rsid w:val="00AA61FD"/>
    <w:pPr>
      <w:ind w:left="630"/>
    </w:pPr>
    <w:rPr>
      <w:rFonts w:asciiTheme="minorHAnsi" w:hAnsiTheme="minorHAnsi" w:cstheme="minorHAnsi"/>
      <w:sz w:val="20"/>
      <w:szCs w:val="20"/>
    </w:rPr>
  </w:style>
  <w:style w:type="paragraph" w:styleId="INNH5">
    <w:name w:val="toc 5"/>
    <w:basedOn w:val="Normal"/>
    <w:next w:val="Normal"/>
    <w:autoRedefine/>
    <w:uiPriority w:val="39"/>
    <w:semiHidden/>
    <w:unhideWhenUsed/>
    <w:rsid w:val="00AA61FD"/>
    <w:pPr>
      <w:ind w:left="840"/>
    </w:pPr>
    <w:rPr>
      <w:rFonts w:asciiTheme="minorHAnsi" w:hAnsiTheme="minorHAnsi" w:cstheme="minorHAnsi"/>
      <w:sz w:val="20"/>
      <w:szCs w:val="20"/>
    </w:rPr>
  </w:style>
  <w:style w:type="paragraph" w:styleId="INNH6">
    <w:name w:val="toc 6"/>
    <w:basedOn w:val="Normal"/>
    <w:next w:val="Normal"/>
    <w:autoRedefine/>
    <w:uiPriority w:val="39"/>
    <w:semiHidden/>
    <w:unhideWhenUsed/>
    <w:rsid w:val="00AA61FD"/>
    <w:pPr>
      <w:ind w:left="1050"/>
    </w:pPr>
    <w:rPr>
      <w:rFonts w:asciiTheme="minorHAnsi" w:hAnsiTheme="minorHAnsi" w:cstheme="minorHAnsi"/>
      <w:sz w:val="20"/>
      <w:szCs w:val="20"/>
    </w:rPr>
  </w:style>
  <w:style w:type="paragraph" w:styleId="INNH7">
    <w:name w:val="toc 7"/>
    <w:basedOn w:val="Normal"/>
    <w:next w:val="Normal"/>
    <w:autoRedefine/>
    <w:uiPriority w:val="39"/>
    <w:semiHidden/>
    <w:unhideWhenUsed/>
    <w:rsid w:val="00AA61FD"/>
    <w:pPr>
      <w:ind w:left="1260"/>
    </w:pPr>
    <w:rPr>
      <w:rFonts w:asciiTheme="minorHAnsi" w:hAnsiTheme="minorHAnsi" w:cstheme="minorHAnsi"/>
      <w:sz w:val="20"/>
      <w:szCs w:val="20"/>
    </w:rPr>
  </w:style>
  <w:style w:type="paragraph" w:styleId="INNH8">
    <w:name w:val="toc 8"/>
    <w:basedOn w:val="Normal"/>
    <w:next w:val="Normal"/>
    <w:autoRedefine/>
    <w:uiPriority w:val="39"/>
    <w:semiHidden/>
    <w:unhideWhenUsed/>
    <w:rsid w:val="00AA61FD"/>
    <w:pPr>
      <w:ind w:left="1470"/>
    </w:pPr>
    <w:rPr>
      <w:rFonts w:asciiTheme="minorHAnsi" w:hAnsiTheme="minorHAnsi" w:cstheme="minorHAnsi"/>
      <w:sz w:val="20"/>
      <w:szCs w:val="20"/>
    </w:rPr>
  </w:style>
  <w:style w:type="paragraph" w:styleId="INNH9">
    <w:name w:val="toc 9"/>
    <w:basedOn w:val="Normal"/>
    <w:next w:val="Normal"/>
    <w:autoRedefine/>
    <w:uiPriority w:val="39"/>
    <w:semiHidden/>
    <w:unhideWhenUsed/>
    <w:rsid w:val="00AA61FD"/>
    <w:pPr>
      <w:ind w:left="1680"/>
    </w:pPr>
    <w:rPr>
      <w:rFonts w:asciiTheme="minorHAnsi" w:hAnsiTheme="minorHAnsi" w:cstheme="minorHAnsi"/>
      <w:sz w:val="20"/>
      <w:szCs w:val="20"/>
    </w:rPr>
  </w:style>
  <w:style w:type="table" w:styleId="Rutenettabell3uthevingsfarge5">
    <w:name w:val="Grid Table 3 Accent 5"/>
    <w:basedOn w:val="Vanligtabell"/>
    <w:uiPriority w:val="48"/>
    <w:rsid w:val="00AA61FD"/>
    <w:pPr>
      <w:spacing w:after="0" w:line="240" w:lineRule="auto"/>
    </w:pPr>
    <w:rPr>
      <w:sz w:val="24"/>
      <w:szCs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5mrkuthevingsfarge5">
    <w:name w:val="Grid Table 5 Dark Accent 5"/>
    <w:basedOn w:val="Vanligtabell"/>
    <w:uiPriority w:val="50"/>
    <w:rsid w:val="00AA61FD"/>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Ulstomtale1">
    <w:name w:val="Uløst omtale1"/>
    <w:basedOn w:val="Standardskriftforavsnitt"/>
    <w:uiPriority w:val="99"/>
    <w:rsid w:val="00AA61FD"/>
    <w:rPr>
      <w:color w:val="605E5C"/>
      <w:shd w:val="clear" w:color="auto" w:fill="E1DFDD"/>
    </w:rPr>
  </w:style>
  <w:style w:type="paragraph" w:styleId="Bunntekst">
    <w:name w:val="footer"/>
    <w:basedOn w:val="Normal"/>
    <w:link w:val="BunntekstTegn"/>
    <w:uiPriority w:val="99"/>
    <w:unhideWhenUsed/>
    <w:rsid w:val="00AA61FD"/>
    <w:pPr>
      <w:tabs>
        <w:tab w:val="center" w:pos="4536"/>
        <w:tab w:val="right" w:pos="9072"/>
      </w:tabs>
      <w:spacing w:line="240" w:lineRule="auto"/>
      <w:jc w:val="both"/>
    </w:pPr>
    <w:rPr>
      <w:sz w:val="20"/>
    </w:rPr>
  </w:style>
  <w:style w:type="character" w:customStyle="1" w:styleId="BunntekstTegn">
    <w:name w:val="Bunntekst Tegn"/>
    <w:basedOn w:val="Standardskriftforavsnitt"/>
    <w:link w:val="Bunntekst"/>
    <w:uiPriority w:val="99"/>
    <w:rsid w:val="00AA61FD"/>
    <w:rPr>
      <w:rFonts w:ascii="Century Gothic" w:hAnsi="Century Gothic"/>
      <w:sz w:val="20"/>
    </w:rPr>
  </w:style>
  <w:style w:type="character" w:styleId="Sidetall">
    <w:name w:val="page number"/>
    <w:basedOn w:val="Standardskriftforavsnitt"/>
    <w:uiPriority w:val="99"/>
    <w:semiHidden/>
    <w:unhideWhenUsed/>
    <w:rsid w:val="00AA61FD"/>
  </w:style>
  <w:style w:type="paragraph" w:styleId="Topptekst">
    <w:name w:val="header"/>
    <w:basedOn w:val="Normal"/>
    <w:link w:val="TopptekstTegn"/>
    <w:uiPriority w:val="99"/>
    <w:unhideWhenUsed/>
    <w:rsid w:val="00AA61FD"/>
    <w:pPr>
      <w:tabs>
        <w:tab w:val="center" w:pos="4536"/>
        <w:tab w:val="right" w:pos="9072"/>
      </w:tabs>
      <w:spacing w:line="240" w:lineRule="auto"/>
      <w:jc w:val="both"/>
    </w:pPr>
    <w:rPr>
      <w:sz w:val="20"/>
    </w:rPr>
  </w:style>
  <w:style w:type="character" w:customStyle="1" w:styleId="TopptekstTegn">
    <w:name w:val="Topptekst Tegn"/>
    <w:basedOn w:val="Standardskriftforavsnitt"/>
    <w:link w:val="Topptekst"/>
    <w:uiPriority w:val="99"/>
    <w:rsid w:val="00AA61FD"/>
    <w:rPr>
      <w:rFonts w:ascii="Century Gothic" w:hAnsi="Century Gothic"/>
      <w:sz w:val="20"/>
    </w:rPr>
  </w:style>
  <w:style w:type="table" w:styleId="Rutenettabell4uthevingsfarge4">
    <w:name w:val="Grid Table 4 Accent 4"/>
    <w:basedOn w:val="Vanligtabell"/>
    <w:uiPriority w:val="49"/>
    <w:rsid w:val="00AA61FD"/>
    <w:pPr>
      <w:spacing w:after="0" w:line="240" w:lineRule="auto"/>
    </w:pPr>
    <w:rPr>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4uthevingsfarge5">
    <w:name w:val="Grid Table 4 Accent 5"/>
    <w:basedOn w:val="Vanligtabell"/>
    <w:uiPriority w:val="49"/>
    <w:rsid w:val="00AA61FD"/>
    <w:pPr>
      <w:spacing w:after="0" w:line="240" w:lineRule="auto"/>
    </w:pPr>
    <w:rPr>
      <w:sz w:val="24"/>
      <w:szCs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4uthevingsfarge2">
    <w:name w:val="Grid Table 4 Accent 2"/>
    <w:basedOn w:val="Vanligtabell"/>
    <w:uiPriority w:val="49"/>
    <w:rsid w:val="00AA61FD"/>
    <w:pPr>
      <w:spacing w:after="0" w:line="240" w:lineRule="auto"/>
    </w:pPr>
    <w:rPr>
      <w:rFonts w:ascii="Century Gothic" w:hAnsi="Century Gothic"/>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4uthevingsfarge1">
    <w:name w:val="Grid Table 4 Accent 1"/>
    <w:basedOn w:val="Vanligtabell"/>
    <w:uiPriority w:val="49"/>
    <w:rsid w:val="00AA61FD"/>
    <w:pPr>
      <w:spacing w:after="0" w:line="240" w:lineRule="auto"/>
    </w:pPr>
    <w:rPr>
      <w:rFonts w:ascii="Century Gothic" w:hAnsi="Century Gothic"/>
      <w:sz w:val="16"/>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4">
    <w:name w:val="Grid Table 4"/>
    <w:basedOn w:val="Vanligtabell"/>
    <w:uiPriority w:val="49"/>
    <w:rsid w:val="00AA61FD"/>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5mrk">
    <w:name w:val="Grid Table 5 Dark"/>
    <w:basedOn w:val="Vanligtabell"/>
    <w:uiPriority w:val="50"/>
    <w:rsid w:val="00AA61FD"/>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3uthevingsfarge6">
    <w:name w:val="Grid Table 3 Accent 6"/>
    <w:basedOn w:val="Vanligtabell"/>
    <w:uiPriority w:val="48"/>
    <w:rsid w:val="00AA61FD"/>
    <w:pPr>
      <w:spacing w:after="0" w:line="240" w:lineRule="auto"/>
    </w:pPr>
    <w:rPr>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NormalWeb">
    <w:name w:val="Normal (Web)"/>
    <w:basedOn w:val="Normal"/>
    <w:uiPriority w:val="99"/>
    <w:semiHidden/>
    <w:unhideWhenUsed/>
    <w:rsid w:val="00AA61F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Tittel3Tegn">
    <w:name w:val="Tittel 3 Tegn"/>
    <w:basedOn w:val="Standardskriftforavsnitt"/>
    <w:link w:val="Tittel3"/>
    <w:locked/>
    <w:rsid w:val="00AA61FD"/>
    <w:rPr>
      <w:rFonts w:ascii="Century Gothic" w:hAnsi="Century Gothic"/>
      <w:b/>
      <w:color w:val="3965B5"/>
    </w:rPr>
  </w:style>
  <w:style w:type="paragraph" w:customStyle="1" w:styleId="Tittel3">
    <w:name w:val="Tittel 3"/>
    <w:basedOn w:val="Normal"/>
    <w:link w:val="Tittel3Tegn"/>
    <w:qFormat/>
    <w:rsid w:val="00AA61FD"/>
    <w:pPr>
      <w:jc w:val="both"/>
    </w:pPr>
    <w:rPr>
      <w:b/>
      <w:color w:val="3965B5"/>
      <w:sz w:val="22"/>
    </w:rPr>
  </w:style>
  <w:style w:type="character" w:styleId="Fulgthyperkobling">
    <w:name w:val="FollowedHyperlink"/>
    <w:basedOn w:val="Standardskriftforavsnitt"/>
    <w:uiPriority w:val="99"/>
    <w:semiHidden/>
    <w:unhideWhenUsed/>
    <w:rsid w:val="00AA61FD"/>
    <w:rPr>
      <w:color w:val="954F72" w:themeColor="followedHyperlink"/>
      <w:u w:val="single"/>
    </w:rPr>
  </w:style>
  <w:style w:type="character" w:styleId="Merknadsreferanse">
    <w:name w:val="annotation reference"/>
    <w:basedOn w:val="Standardskriftforavsnitt"/>
    <w:uiPriority w:val="99"/>
    <w:semiHidden/>
    <w:unhideWhenUsed/>
    <w:rsid w:val="00AA61FD"/>
    <w:rPr>
      <w:sz w:val="16"/>
      <w:szCs w:val="16"/>
    </w:rPr>
  </w:style>
  <w:style w:type="paragraph" w:styleId="Merknadstekst">
    <w:name w:val="annotation text"/>
    <w:basedOn w:val="Normal"/>
    <w:link w:val="MerknadstekstTegn"/>
    <w:uiPriority w:val="99"/>
    <w:semiHidden/>
    <w:unhideWhenUsed/>
    <w:rsid w:val="00AA61FD"/>
    <w:pPr>
      <w:spacing w:line="240" w:lineRule="auto"/>
      <w:jc w:val="both"/>
    </w:pPr>
    <w:rPr>
      <w:sz w:val="20"/>
      <w:szCs w:val="20"/>
    </w:rPr>
  </w:style>
  <w:style w:type="character" w:customStyle="1" w:styleId="MerknadstekstTegn">
    <w:name w:val="Merknadstekst Tegn"/>
    <w:basedOn w:val="Standardskriftforavsnitt"/>
    <w:link w:val="Merknadstekst"/>
    <w:uiPriority w:val="99"/>
    <w:semiHidden/>
    <w:rsid w:val="00AA61FD"/>
    <w:rPr>
      <w:rFonts w:ascii="Century Gothic" w:hAnsi="Century Gothic"/>
      <w:sz w:val="20"/>
      <w:szCs w:val="20"/>
    </w:rPr>
  </w:style>
  <w:style w:type="paragraph" w:styleId="Kommentaremne">
    <w:name w:val="annotation subject"/>
    <w:basedOn w:val="Merknadstekst"/>
    <w:next w:val="Merknadstekst"/>
    <w:link w:val="KommentaremneTegn"/>
    <w:uiPriority w:val="99"/>
    <w:semiHidden/>
    <w:unhideWhenUsed/>
    <w:rsid w:val="00AA61FD"/>
    <w:rPr>
      <w:b/>
      <w:bCs/>
    </w:rPr>
  </w:style>
  <w:style w:type="character" w:customStyle="1" w:styleId="KommentaremneTegn">
    <w:name w:val="Kommentaremne Tegn"/>
    <w:basedOn w:val="MerknadstekstTegn"/>
    <w:link w:val="Kommentaremne"/>
    <w:uiPriority w:val="99"/>
    <w:semiHidden/>
    <w:rsid w:val="00AA61FD"/>
    <w:rPr>
      <w:rFonts w:ascii="Century Gothic" w:hAnsi="Century Gothic"/>
      <w:b/>
      <w:bCs/>
      <w:sz w:val="20"/>
      <w:szCs w:val="20"/>
    </w:rPr>
  </w:style>
  <w:style w:type="paragraph" w:styleId="Listeavsnitt">
    <w:name w:val="List Paragraph"/>
    <w:basedOn w:val="Normal"/>
    <w:uiPriority w:val="34"/>
    <w:qFormat/>
    <w:rsid w:val="00AA61FD"/>
    <w:pPr>
      <w:ind w:left="720"/>
      <w:contextualSpacing/>
      <w:jc w:val="both"/>
    </w:pPr>
    <w:rPr>
      <w:sz w:val="20"/>
    </w:rPr>
  </w:style>
  <w:style w:type="paragraph" w:styleId="Liste">
    <w:name w:val="List"/>
    <w:basedOn w:val="Normal"/>
    <w:uiPriority w:val="99"/>
    <w:unhideWhenUsed/>
    <w:rsid w:val="00AA61FD"/>
    <w:pPr>
      <w:ind w:left="283" w:hanging="283"/>
      <w:contextualSpacing/>
      <w:jc w:val="both"/>
    </w:pPr>
    <w:rPr>
      <w:sz w:val="20"/>
    </w:rPr>
  </w:style>
  <w:style w:type="paragraph" w:styleId="Brdtekst">
    <w:name w:val="Body Text"/>
    <w:basedOn w:val="Normal"/>
    <w:link w:val="BrdtekstTegn"/>
    <w:uiPriority w:val="99"/>
    <w:unhideWhenUsed/>
    <w:rsid w:val="00AA61FD"/>
    <w:pPr>
      <w:spacing w:after="120"/>
      <w:jc w:val="both"/>
    </w:pPr>
    <w:rPr>
      <w:sz w:val="20"/>
    </w:rPr>
  </w:style>
  <w:style w:type="character" w:customStyle="1" w:styleId="BrdtekstTegn">
    <w:name w:val="Brødtekst Tegn"/>
    <w:basedOn w:val="Standardskriftforavsnitt"/>
    <w:link w:val="Brdtekst"/>
    <w:uiPriority w:val="99"/>
    <w:rsid w:val="00AA61FD"/>
    <w:rPr>
      <w:rFonts w:ascii="Century Gothic" w:hAnsi="Century Gothic"/>
      <w:sz w:val="20"/>
    </w:rPr>
  </w:style>
  <w:style w:type="character" w:styleId="Ulstomtale">
    <w:name w:val="Unresolved Mention"/>
    <w:basedOn w:val="Standardskriftforavsnitt"/>
    <w:uiPriority w:val="99"/>
    <w:semiHidden/>
    <w:unhideWhenUsed/>
    <w:rsid w:val="00AA61FD"/>
    <w:rPr>
      <w:color w:val="605E5C"/>
      <w:shd w:val="clear" w:color="auto" w:fill="E1DFDD"/>
    </w:rPr>
  </w:style>
  <w:style w:type="character" w:styleId="Utheving">
    <w:name w:val="Emphasis"/>
    <w:basedOn w:val="Standardskriftforavsnitt"/>
    <w:uiPriority w:val="20"/>
    <w:qFormat/>
    <w:rsid w:val="00AA61FD"/>
    <w:rPr>
      <w:i/>
      <w:iCs/>
    </w:rPr>
  </w:style>
  <w:style w:type="paragraph" w:styleId="Ingenmellomrom">
    <w:name w:val="No Spacing"/>
    <w:uiPriority w:val="1"/>
    <w:qFormat/>
    <w:rsid w:val="00AA61FD"/>
    <w:pPr>
      <w:spacing w:after="0" w:line="240" w:lineRule="auto"/>
      <w:jc w:val="both"/>
    </w:pPr>
    <w:rPr>
      <w:rFonts w:ascii="Century Gothic" w:hAnsi="Century Gothic"/>
      <w:sz w:val="20"/>
    </w:rPr>
  </w:style>
  <w:style w:type="paragraph" w:customStyle="1" w:styleId="Default">
    <w:name w:val="Default"/>
    <w:rsid w:val="00AA61FD"/>
    <w:pPr>
      <w:autoSpaceDE w:val="0"/>
      <w:autoSpaceDN w:val="0"/>
      <w:adjustRightInd w:val="0"/>
      <w:spacing w:after="0" w:line="240" w:lineRule="auto"/>
    </w:pPr>
    <w:rPr>
      <w:rFonts w:ascii="InterFace" w:hAnsi="InterFace" w:cs="InterFace"/>
      <w:color w:val="000000"/>
      <w:sz w:val="24"/>
      <w:szCs w:val="24"/>
    </w:rPr>
  </w:style>
  <w:style w:type="paragraph" w:styleId="Dato">
    <w:name w:val="Date"/>
    <w:basedOn w:val="Normal"/>
    <w:next w:val="Normal"/>
    <w:link w:val="DatoTegn"/>
    <w:uiPriority w:val="99"/>
    <w:unhideWhenUsed/>
    <w:rsid w:val="00AA61FD"/>
    <w:pPr>
      <w:jc w:val="both"/>
    </w:pPr>
    <w:rPr>
      <w:sz w:val="20"/>
    </w:rPr>
  </w:style>
  <w:style w:type="character" w:customStyle="1" w:styleId="DatoTegn">
    <w:name w:val="Dato Tegn"/>
    <w:basedOn w:val="Standardskriftforavsnitt"/>
    <w:link w:val="Dato"/>
    <w:uiPriority w:val="99"/>
    <w:rsid w:val="00AA61FD"/>
    <w:rPr>
      <w:rFonts w:ascii="Century Gothic" w:hAnsi="Century Gothic"/>
      <w:sz w:val="20"/>
    </w:rPr>
  </w:style>
  <w:style w:type="table" w:styleId="Rutenettabell5mrkuthevingsfarge1">
    <w:name w:val="Grid Table 5 Dark Accent 1"/>
    <w:basedOn w:val="Vanligtabell"/>
    <w:uiPriority w:val="50"/>
    <w:rsid w:val="00AA61FD"/>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utenettabell1lys">
    <w:name w:val="Grid Table 1 Light"/>
    <w:basedOn w:val="Vanligtabell"/>
    <w:uiPriority w:val="46"/>
    <w:rsid w:val="00AA61FD"/>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vakreferanse">
    <w:name w:val="Subtle Reference"/>
    <w:aliases w:val="Kildetekst"/>
    <w:basedOn w:val="Standardskriftforavsnitt"/>
    <w:uiPriority w:val="31"/>
    <w:qFormat/>
    <w:rsid w:val="00AA61FD"/>
    <w:rPr>
      <w:rFonts w:ascii="Century Gothic" w:hAnsi="Century Gothic"/>
      <w:caps w:val="0"/>
      <w:smallCaps w:val="0"/>
      <w:color w:val="auto"/>
      <w:sz w:val="16"/>
    </w:rPr>
  </w:style>
  <w:style w:type="character" w:styleId="Sterkutheving">
    <w:name w:val="Intense Emphasis"/>
    <w:basedOn w:val="Standardskriftforavsnitt"/>
    <w:uiPriority w:val="21"/>
    <w:qFormat/>
    <w:rsid w:val="00AA61FD"/>
    <w:rPr>
      <w:i/>
      <w:iCs/>
      <w:color w:val="5B9BD5" w:themeColor="accent1"/>
    </w:rPr>
  </w:style>
  <w:style w:type="paragraph" w:styleId="Fotnotetekst">
    <w:name w:val="footnote text"/>
    <w:basedOn w:val="Normal"/>
    <w:link w:val="FotnotetekstTegn"/>
    <w:uiPriority w:val="99"/>
    <w:semiHidden/>
    <w:unhideWhenUsed/>
    <w:rsid w:val="00AA61FD"/>
    <w:pPr>
      <w:spacing w:line="240" w:lineRule="auto"/>
    </w:pPr>
    <w:rPr>
      <w:sz w:val="20"/>
      <w:szCs w:val="20"/>
    </w:rPr>
  </w:style>
  <w:style w:type="character" w:customStyle="1" w:styleId="FotnotetekstTegn">
    <w:name w:val="Fotnotetekst Tegn"/>
    <w:basedOn w:val="Standardskriftforavsnitt"/>
    <w:link w:val="Fotnotetekst"/>
    <w:uiPriority w:val="99"/>
    <w:semiHidden/>
    <w:rsid w:val="00AA61FD"/>
    <w:rPr>
      <w:rFonts w:ascii="Century Gothic" w:hAnsi="Century Gothic"/>
      <w:sz w:val="20"/>
      <w:szCs w:val="20"/>
    </w:rPr>
  </w:style>
  <w:style w:type="character" w:styleId="Fotnotereferanse">
    <w:name w:val="footnote reference"/>
    <w:basedOn w:val="Standardskriftforavsnitt"/>
    <w:uiPriority w:val="99"/>
    <w:semiHidden/>
    <w:unhideWhenUsed/>
    <w:rsid w:val="00AA61FD"/>
    <w:rPr>
      <w:vertAlign w:val="superscript"/>
    </w:rPr>
  </w:style>
  <w:style w:type="character" w:customStyle="1" w:styleId="fontstyle01">
    <w:name w:val="fontstyle01"/>
    <w:basedOn w:val="Standardskriftforavsnitt"/>
    <w:rsid w:val="00AA61FD"/>
    <w:rPr>
      <w:rFonts w:ascii="Calibri" w:hAnsi="Calibri" w:cs="Calibri"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921721">
      <w:bodyDiv w:val="1"/>
      <w:marLeft w:val="0"/>
      <w:marRight w:val="0"/>
      <w:marTop w:val="0"/>
      <w:marBottom w:val="0"/>
      <w:divBdr>
        <w:top w:val="none" w:sz="0" w:space="0" w:color="auto"/>
        <w:left w:val="none" w:sz="0" w:space="0" w:color="auto"/>
        <w:bottom w:val="none" w:sz="0" w:space="0" w:color="auto"/>
        <w:right w:val="none" w:sz="0" w:space="0" w:color="auto"/>
      </w:divBdr>
      <w:divsChild>
        <w:div w:id="676275784">
          <w:marLeft w:val="0"/>
          <w:marRight w:val="0"/>
          <w:marTop w:val="0"/>
          <w:marBottom w:val="0"/>
          <w:divBdr>
            <w:top w:val="none" w:sz="0" w:space="0" w:color="auto"/>
            <w:left w:val="none" w:sz="0" w:space="0" w:color="auto"/>
            <w:bottom w:val="none" w:sz="0" w:space="0" w:color="auto"/>
            <w:right w:val="none" w:sz="0" w:space="0" w:color="auto"/>
          </w:divBdr>
        </w:div>
      </w:divsChild>
    </w:div>
    <w:div w:id="1658343298">
      <w:bodyDiv w:val="1"/>
      <w:marLeft w:val="0"/>
      <w:marRight w:val="0"/>
      <w:marTop w:val="0"/>
      <w:marBottom w:val="0"/>
      <w:divBdr>
        <w:top w:val="none" w:sz="0" w:space="0" w:color="auto"/>
        <w:left w:val="none" w:sz="0" w:space="0" w:color="auto"/>
        <w:bottom w:val="none" w:sz="0" w:space="0" w:color="auto"/>
        <w:right w:val="none" w:sz="0" w:space="0" w:color="auto"/>
      </w:divBdr>
      <w:divsChild>
        <w:div w:id="511917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36.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AYEK\Documents\Martin\Egenkapital%20BI\Arbeidsfil%20-%20november%202019.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HAYEK\Documents\Martin\Egenkapital%20BI\Arbeidsfil%20-%20november%202019.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51965446914808"/>
          <c:y val="2.475685234305924E-2"/>
          <c:w val="0.47393137421882164"/>
          <c:h val="0.91252124645892352"/>
        </c:manualLayout>
      </c:layout>
      <c:barChart>
        <c:barDir val="col"/>
        <c:grouping val="stacked"/>
        <c:varyColors val="0"/>
        <c:ser>
          <c:idx val="0"/>
          <c:order val="0"/>
          <c:tx>
            <c:strRef>
              <c:f>'Ark1'!$B$1</c:f>
              <c:strCache>
                <c:ptCount val="1"/>
                <c:pt idx="0">
                  <c:v>Formuesskatt på arbeidende kapital og  netto liknings-formue under 20 mill. kr</c:v>
                </c:pt>
              </c:strCache>
            </c:strRef>
          </c:tx>
          <c:spPr>
            <a:solidFill>
              <a:schemeClr val="accent6">
                <a:lumMod val="75000"/>
              </a:schemeClr>
            </a:solidFill>
            <a:ln>
              <a:solidFill>
                <a:schemeClr val="accent6">
                  <a:lumMod val="50000"/>
                </a:schemeClr>
              </a:solidFill>
            </a:ln>
            <a:effectLst/>
          </c:spPr>
          <c:invertIfNegative val="0"/>
          <c:dLbls>
            <c:numFmt formatCode="#,##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'Ark1'!$B$2</c:f>
              <c:numCache>
                <c:formatCode>General</c:formatCode>
                <c:ptCount val="1"/>
                <c:pt idx="0">
                  <c:v>425000</c:v>
                </c:pt>
              </c:numCache>
            </c:numRef>
          </c:val>
          <c:extLst>
            <c:ext xmlns:c16="http://schemas.microsoft.com/office/drawing/2014/chart" uri="{C3380CC4-5D6E-409C-BE32-E72D297353CC}">
              <c16:uniqueId val="{00000000-94A8-4465-AFCD-6D15DD6C5671}"/>
            </c:ext>
          </c:extLst>
        </c:ser>
        <c:ser>
          <c:idx val="1"/>
          <c:order val="1"/>
          <c:tx>
            <c:strRef>
              <c:f>'Ark1'!$C$1</c:f>
              <c:strCache>
                <c:ptCount val="1"/>
                <c:pt idx="0">
                  <c:v>Formuesskatt på arbeidende kapital og  netto liknings-formue mellom 20-50 mill. kr</c:v>
                </c:pt>
              </c:strCache>
            </c:strRef>
          </c:tx>
          <c:spPr>
            <a:solidFill>
              <a:schemeClr val="accent2"/>
            </a:solidFill>
            <a:ln>
              <a:solidFill>
                <a:schemeClr val="accent6">
                  <a:lumMod val="50000"/>
                </a:schemeClr>
              </a:solidFill>
            </a:ln>
            <a:effectLst/>
          </c:spPr>
          <c:invertIfNegative val="0"/>
          <c:dLbls>
            <c:dLbl>
              <c:idx val="0"/>
              <c:layout>
                <c:manualLayout>
                  <c:x val="-2.2185246810870773E-3"/>
                  <c:y val="3.7764350453172208E-3"/>
                </c:manualLayout>
              </c:layout>
              <c:tx>
                <c:rich>
                  <a:bodyPr rot="0" spcFirstLastPara="1" vertOverflow="ellipsis" vert="horz" wrap="square" anchor="ctr" anchorCtr="1"/>
                  <a:lstStyle/>
                  <a:p>
                    <a:pPr>
                      <a:defRPr sz="1000" b="1" i="0" u="none" strike="noStrike" kern="1200" baseline="0">
                        <a:solidFill>
                          <a:schemeClr val="tx1"/>
                        </a:solidFill>
                        <a:latin typeface="Century Gothic" panose="020B0502020202020204" pitchFamily="34" charset="0"/>
                        <a:ea typeface="+mn-ea"/>
                        <a:cs typeface="+mn-cs"/>
                      </a:defRPr>
                    </a:pPr>
                    <a:fld id="{F91055C2-0E05-478F-AF5A-6CA8BFD085C2}" type="VALUE">
                      <a:rPr lang="en-US" sz="800">
                        <a:solidFill>
                          <a:schemeClr val="tx1"/>
                        </a:solidFill>
                      </a:rPr>
                      <a:pPr>
                        <a:defRPr b="1">
                          <a:solidFill>
                            <a:schemeClr val="tx1"/>
                          </a:solidFill>
                        </a:defRPr>
                      </a:pPr>
                      <a:t>[VERDI]</a:t>
                    </a:fld>
                    <a:endParaRPr lang="nb-NO"/>
                  </a:p>
                </c:rich>
              </c:tx>
              <c:numFmt formatCode="#,##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15:layout>
                    <c:manualLayout>
                      <c:w val="0.25110557752454743"/>
                      <c:h val="5.4980451935983457E-2"/>
                    </c:manualLayout>
                  </c15:layout>
                  <c15:dlblFieldTable/>
                  <c15:showDataLabelsRange val="0"/>
                </c:ext>
                <c:ext xmlns:c16="http://schemas.microsoft.com/office/drawing/2014/chart" uri="{C3380CC4-5D6E-409C-BE32-E72D297353CC}">
                  <c16:uniqueId val="{00000001-94A8-4465-AFCD-6D15DD6C5671}"/>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'Ark1'!$C$2</c:f>
              <c:numCache>
                <c:formatCode>General</c:formatCode>
                <c:ptCount val="1"/>
                <c:pt idx="0">
                  <c:v>10600</c:v>
                </c:pt>
              </c:numCache>
            </c:numRef>
          </c:val>
          <c:extLst>
            <c:ext xmlns:c16="http://schemas.microsoft.com/office/drawing/2014/chart" uri="{C3380CC4-5D6E-409C-BE32-E72D297353CC}">
              <c16:uniqueId val="{00000002-94A8-4465-AFCD-6D15DD6C5671}"/>
            </c:ext>
          </c:extLst>
        </c:ser>
        <c:ser>
          <c:idx val="2"/>
          <c:order val="2"/>
          <c:tx>
            <c:strRef>
              <c:f>'Ark1'!$D$1</c:f>
              <c:strCache>
                <c:ptCount val="1"/>
                <c:pt idx="0">
                  <c:v>Formuesskatt på arbeidende kapital og  netto liknings-formue over 50 mill. kr</c:v>
                </c:pt>
              </c:strCache>
            </c:strRef>
          </c:tx>
          <c:spPr>
            <a:solidFill>
              <a:schemeClr val="accent5">
                <a:lumMod val="75000"/>
              </a:schemeClr>
            </a:solidFill>
            <a:ln>
              <a:noFill/>
            </a:ln>
            <a:effectLst/>
          </c:spPr>
          <c:invertIfNegative val="0"/>
          <c:dLbls>
            <c:dLbl>
              <c:idx val="0"/>
              <c:layout>
                <c:manualLayout>
                  <c:x val="1.1092623405434979E-3"/>
                  <c:y val="-5.6646525679758308E-2"/>
                </c:manualLayout>
              </c:layout>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15:layout>
                    <c:manualLayout>
                      <c:w val="6.9129229062673325E-2"/>
                      <c:h val="5.300241453957228E-2"/>
                    </c:manualLayout>
                  </c15:layout>
                </c:ext>
                <c:ext xmlns:c16="http://schemas.microsoft.com/office/drawing/2014/chart" uri="{C3380CC4-5D6E-409C-BE32-E72D297353CC}">
                  <c16:uniqueId val="{00000003-94A8-4465-AFCD-6D15DD6C5671}"/>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'Ark1'!$D$2</c:f>
              <c:numCache>
                <c:formatCode>General</c:formatCode>
                <c:ptCount val="1"/>
                <c:pt idx="0">
                  <c:v>1400</c:v>
                </c:pt>
              </c:numCache>
            </c:numRef>
          </c:val>
          <c:extLst>
            <c:ext xmlns:c16="http://schemas.microsoft.com/office/drawing/2014/chart" uri="{C3380CC4-5D6E-409C-BE32-E72D297353CC}">
              <c16:uniqueId val="{00000004-94A8-4465-AFCD-6D15DD6C5671}"/>
            </c:ext>
          </c:extLst>
        </c:ser>
        <c:dLbls>
          <c:showLegendKey val="0"/>
          <c:showVal val="0"/>
          <c:showCatName val="0"/>
          <c:showSerName val="0"/>
          <c:showPercent val="0"/>
          <c:showBubbleSize val="0"/>
        </c:dLbls>
        <c:gapWidth val="150"/>
        <c:overlap val="100"/>
        <c:axId val="1817749519"/>
        <c:axId val="1602552207"/>
      </c:barChart>
      <c:catAx>
        <c:axId val="1817749519"/>
        <c:scaling>
          <c:orientation val="minMax"/>
        </c:scaling>
        <c:delete val="1"/>
        <c:axPos val="b"/>
        <c:numFmt formatCode="General" sourceLinked="1"/>
        <c:majorTickMark val="none"/>
        <c:minorTickMark val="none"/>
        <c:tickLblPos val="nextTo"/>
        <c:crossAx val="1602552207"/>
        <c:crosses val="autoZero"/>
        <c:auto val="1"/>
        <c:lblAlgn val="ctr"/>
        <c:lblOffset val="100"/>
        <c:noMultiLvlLbl val="0"/>
      </c:catAx>
      <c:valAx>
        <c:axId val="1602552207"/>
        <c:scaling>
          <c:orientation val="minMax"/>
          <c:max val="50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1817749519"/>
        <c:crosses val="autoZero"/>
        <c:crossBetween val="between"/>
      </c:valAx>
      <c:spPr>
        <a:noFill/>
        <a:ln>
          <a:noFill/>
        </a:ln>
        <a:effectLst/>
      </c:spPr>
    </c:plotArea>
    <c:legend>
      <c:legendPos val="r"/>
      <c:legendEntry>
        <c:idx val="1"/>
        <c:txPr>
          <a:bodyPr rot="0" spcFirstLastPara="1" vertOverflow="ellipsis" vert="horz" wrap="square" anchor="ctr" anchorCtr="1"/>
          <a:lstStyle/>
          <a:p>
            <a:pPr>
              <a:defRPr sz="600" b="1" i="0" u="none" strike="noStrike" kern="1200" baseline="0">
                <a:solidFill>
                  <a:sysClr val="windowText" lastClr="000000"/>
                </a:solidFill>
                <a:latin typeface="Century Gothic" panose="020B0502020202020204" pitchFamily="34" charset="0"/>
                <a:ea typeface="+mn-ea"/>
                <a:cs typeface="+mn-cs"/>
              </a:defRPr>
            </a:pPr>
            <a:endParaRPr lang="nb-NO"/>
          </a:p>
        </c:txPr>
      </c:legendEntry>
      <c:legendEntry>
        <c:idx val="2"/>
        <c:txPr>
          <a:bodyPr rot="0" spcFirstLastPara="1" vertOverflow="ellipsis" vert="horz" wrap="square" anchor="ctr" anchorCtr="1"/>
          <a:lstStyle/>
          <a:p>
            <a:pPr>
              <a:defRPr sz="600" b="1" i="0" u="none" strike="noStrike" kern="1200" baseline="0">
                <a:solidFill>
                  <a:sysClr val="windowText" lastClr="000000"/>
                </a:solidFill>
                <a:latin typeface="Century Gothic" panose="020B0502020202020204" pitchFamily="34" charset="0"/>
                <a:ea typeface="+mn-ea"/>
                <a:cs typeface="+mn-cs"/>
              </a:defRPr>
            </a:pPr>
            <a:endParaRPr lang="nb-NO"/>
          </a:p>
        </c:txPr>
      </c:legendEntry>
      <c:layout>
        <c:manualLayout>
          <c:xMode val="edge"/>
          <c:yMode val="edge"/>
          <c:x val="0.63144995506652157"/>
          <c:y val="4.7664650026854726E-3"/>
          <c:w val="0.35684454756380513"/>
          <c:h val="0.96988873012495058"/>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51965446914808"/>
          <c:y val="2.475685234305924E-2"/>
          <c:w val="0.47393137421882164"/>
          <c:h val="0.91252124645892352"/>
        </c:manualLayout>
      </c:layout>
      <c:barChart>
        <c:barDir val="col"/>
        <c:grouping val="stacked"/>
        <c:varyColors val="0"/>
        <c:ser>
          <c:idx val="0"/>
          <c:order val="0"/>
          <c:tx>
            <c:strRef>
              <c:f>'Ark1'!$B$1</c:f>
              <c:strCache>
                <c:ptCount val="1"/>
                <c:pt idx="0">
                  <c:v>Estimert antall skatteyere med formuesskatt på eierskap i små bedrifter eller moderat annen næringskapital. Netto linkningsverdi under 20 mill. kr</c:v>
                </c:pt>
              </c:strCache>
            </c:strRef>
          </c:tx>
          <c:spPr>
            <a:solidFill>
              <a:schemeClr val="accent6">
                <a:lumMod val="75000"/>
              </a:schemeClr>
            </a:solidFill>
            <a:ln>
              <a:solidFill>
                <a:schemeClr val="accent6">
                  <a:lumMod val="50000"/>
                </a:schemeClr>
              </a:solid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'Ark1'!$B$2</c:f>
              <c:numCache>
                <c:formatCode>General</c:formatCode>
                <c:ptCount val="1"/>
                <c:pt idx="0">
                  <c:v>3</c:v>
                </c:pt>
              </c:numCache>
            </c:numRef>
          </c:val>
          <c:extLst>
            <c:ext xmlns:c16="http://schemas.microsoft.com/office/drawing/2014/chart" uri="{C3380CC4-5D6E-409C-BE32-E72D297353CC}">
              <c16:uniqueId val="{00000000-71E0-496B-A88D-4B5209216E5E}"/>
            </c:ext>
          </c:extLst>
        </c:ser>
        <c:ser>
          <c:idx val="1"/>
          <c:order val="1"/>
          <c:tx>
            <c:strRef>
              <c:f>'Ark1'!$C$1</c:f>
              <c:strCache>
                <c:ptCount val="1"/>
                <c:pt idx="0">
                  <c:v>Estimert antall skatteyere med formuesskatt på eierskap i mellomstore bedrifter eller betaydelig annen næringskapital. Netto likningsverdi mellom 20 og 50 mill. kr</c:v>
                </c:pt>
              </c:strCache>
            </c:strRef>
          </c:tx>
          <c:spPr>
            <a:solidFill>
              <a:schemeClr val="accent2"/>
            </a:solidFill>
            <a:ln>
              <a:solidFill>
                <a:schemeClr val="accent6">
                  <a:lumMod val="50000"/>
                </a:schemeClr>
              </a:solidFill>
            </a:ln>
            <a:effectLst/>
          </c:spPr>
          <c:invertIfNegative val="0"/>
          <c:dLbls>
            <c:dLbl>
              <c:idx val="0"/>
              <c:layout>
                <c:manualLayout>
                  <c:x val="-2.2185246810870773E-3"/>
                  <c:y val="3.7764350453172208E-3"/>
                </c:manualLayout>
              </c:layout>
              <c:tx>
                <c:rich>
                  <a:bodyPr/>
                  <a:lstStyle/>
                  <a:p>
                    <a:fld id="{F91055C2-0E05-478F-AF5A-6CA8BFD085C2}" type="VALUE">
                      <a:rPr lang="en-US" sz="900"/>
                      <a:pPr/>
                      <a:t>[VERDI]</a:t>
                    </a:fld>
                    <a:endParaRPr lang="nb-NO"/>
                  </a:p>
                </c:rich>
              </c:tx>
              <c:showLegendKey val="0"/>
              <c:showVal val="1"/>
              <c:showCatName val="0"/>
              <c:showSerName val="0"/>
              <c:showPercent val="0"/>
              <c:showBubbleSize val="0"/>
              <c:extLst>
                <c:ext xmlns:c15="http://schemas.microsoft.com/office/drawing/2012/chart" uri="{CE6537A1-D6FC-4f65-9D91-7224C49458BB}">
                  <c15:layout>
                    <c:manualLayout>
                      <c:w val="0.25110557752454743"/>
                      <c:h val="5.4980451935983457E-2"/>
                    </c:manualLayout>
                  </c15:layout>
                  <c15:dlblFieldTable/>
                  <c15:showDataLabelsRange val="0"/>
                </c:ext>
                <c:ext xmlns:c16="http://schemas.microsoft.com/office/drawing/2014/chart" uri="{C3380CC4-5D6E-409C-BE32-E72D297353CC}">
                  <c16:uniqueId val="{00000001-71E0-496B-A88D-4B5209216E5E}"/>
                </c:ext>
              </c:extLst>
            </c:dLbl>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'Ark1'!$C$2</c:f>
              <c:numCache>
                <c:formatCode>General</c:formatCode>
                <c:ptCount val="1"/>
                <c:pt idx="0">
                  <c:v>1.3</c:v>
                </c:pt>
              </c:numCache>
            </c:numRef>
          </c:val>
          <c:extLst>
            <c:ext xmlns:c16="http://schemas.microsoft.com/office/drawing/2014/chart" uri="{C3380CC4-5D6E-409C-BE32-E72D297353CC}">
              <c16:uniqueId val="{00000002-71E0-496B-A88D-4B5209216E5E}"/>
            </c:ext>
          </c:extLst>
        </c:ser>
        <c:ser>
          <c:idx val="2"/>
          <c:order val="2"/>
          <c:tx>
            <c:strRef>
              <c:f>'Ark1'!$D$1</c:f>
              <c:strCache>
                <c:ptCount val="1"/>
                <c:pt idx="0">
                  <c:v>Estimert antall skatteyere med formuesskatt på eierskap i store bedrifter eller stort omfang av annen næringskapital. Netto likningsformue over 50 mill. kroner</c:v>
                </c:pt>
              </c:strCache>
            </c:strRef>
          </c:tx>
          <c:spPr>
            <a:solidFill>
              <a:schemeClr val="accent5">
                <a:lumMod val="75000"/>
              </a:schemeClr>
            </a:solidFill>
            <a:ln>
              <a:solidFill>
                <a:schemeClr val="tx1"/>
              </a:solidFill>
            </a:ln>
            <a:effectLst/>
          </c:spPr>
          <c:invertIfNegative val="0"/>
          <c:dLbls>
            <c:dLbl>
              <c:idx val="0"/>
              <c:layout>
                <c:manualLayout>
                  <c:x val="1.1092623405434979E-3"/>
                  <c:y val="-5.664652567975830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15:layout>
                    <c:manualLayout>
                      <c:w val="6.9129229062673325E-2"/>
                      <c:h val="5.300241453957228E-2"/>
                    </c:manualLayout>
                  </c15:layout>
                </c:ext>
                <c:ext xmlns:c16="http://schemas.microsoft.com/office/drawing/2014/chart" uri="{C3380CC4-5D6E-409C-BE32-E72D297353CC}">
                  <c16:uniqueId val="{00000003-71E0-496B-A88D-4B5209216E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'Ark1'!$D$2</c:f>
              <c:numCache>
                <c:formatCode>General</c:formatCode>
                <c:ptCount val="1"/>
                <c:pt idx="0">
                  <c:v>4</c:v>
                </c:pt>
              </c:numCache>
            </c:numRef>
          </c:val>
          <c:extLst>
            <c:ext xmlns:c16="http://schemas.microsoft.com/office/drawing/2014/chart" uri="{C3380CC4-5D6E-409C-BE32-E72D297353CC}">
              <c16:uniqueId val="{00000004-71E0-496B-A88D-4B5209216E5E}"/>
            </c:ext>
          </c:extLst>
        </c:ser>
        <c:dLbls>
          <c:showLegendKey val="0"/>
          <c:showVal val="0"/>
          <c:showCatName val="0"/>
          <c:showSerName val="0"/>
          <c:showPercent val="0"/>
          <c:showBubbleSize val="0"/>
        </c:dLbls>
        <c:gapWidth val="150"/>
        <c:overlap val="100"/>
        <c:axId val="1817749519"/>
        <c:axId val="1602552207"/>
      </c:barChart>
      <c:catAx>
        <c:axId val="1817749519"/>
        <c:scaling>
          <c:orientation val="minMax"/>
        </c:scaling>
        <c:delete val="1"/>
        <c:axPos val="b"/>
        <c:numFmt formatCode="General" sourceLinked="1"/>
        <c:majorTickMark val="none"/>
        <c:minorTickMark val="none"/>
        <c:tickLblPos val="nextTo"/>
        <c:crossAx val="1602552207"/>
        <c:crosses val="autoZero"/>
        <c:auto val="1"/>
        <c:lblAlgn val="ctr"/>
        <c:lblOffset val="100"/>
        <c:noMultiLvlLbl val="0"/>
      </c:catAx>
      <c:valAx>
        <c:axId val="1602552207"/>
        <c:scaling>
          <c:orientation val="minMax"/>
          <c:max val="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nb-NO"/>
          </a:p>
        </c:txPr>
        <c:crossAx val="1817749519"/>
        <c:crosses val="autoZero"/>
        <c:crossBetween val="between"/>
      </c:valAx>
      <c:spPr>
        <a:noFill/>
        <a:ln>
          <a:noFill/>
        </a:ln>
        <a:effectLst/>
      </c:spPr>
    </c:plotArea>
    <c:legend>
      <c:legendPos val="r"/>
      <c:legendEntry>
        <c:idx val="1"/>
        <c:txPr>
          <a:bodyPr rot="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legendEntry>
      <c:legendEntry>
        <c:idx val="2"/>
        <c:txPr>
          <a:bodyPr rot="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legendEntry>
      <c:layout>
        <c:manualLayout>
          <c:xMode val="edge"/>
          <c:yMode val="edge"/>
          <c:x val="0.60935294921081495"/>
          <c:y val="1.9953529021252286E-2"/>
          <c:w val="0.35021544580709313"/>
          <c:h val="0.96683123387591474"/>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Nominelt</c:v>
                </c:pt>
              </c:strCache>
            </c:strRef>
          </c:tx>
          <c:spPr>
            <a:solidFill>
              <a:schemeClr val="accent1"/>
            </a:solidFill>
            <a:ln w="3175">
              <a:solidFill>
                <a:schemeClr val="tx1"/>
              </a:solidFill>
            </a:ln>
            <a:effectLst/>
          </c:spPr>
          <c:invertIfNegative val="0"/>
          <c:dLbls>
            <c:dLbl>
              <c:idx val="0"/>
              <c:layout>
                <c:manualLayout>
                  <c:x val="-2.3148148148148255E-3"/>
                  <c:y val="9.3023255813953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9F-46FF-9E0E-CD2F52EAD1EB}"/>
                </c:ext>
              </c:extLst>
            </c:dLbl>
            <c:dLbl>
              <c:idx val="1"/>
              <c:layout>
                <c:manualLayout>
                  <c:x val="-2.3148148148148359E-3"/>
                  <c:y val="8.720930232558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9F-46FF-9E0E-CD2F52EAD1EB}"/>
                </c:ext>
              </c:extLst>
            </c:dLbl>
            <c:dLbl>
              <c:idx val="2"/>
              <c:layout>
                <c:manualLayout>
                  <c:x val="0"/>
                  <c:y val="8.7209302325581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9F-46FF-9E0E-CD2F52EAD1EB}"/>
                </c:ext>
              </c:extLst>
            </c:dLbl>
            <c:dLbl>
              <c:idx val="3"/>
              <c:layout>
                <c:manualLayout>
                  <c:x val="-8.4875562720133283E-17"/>
                  <c:y val="8.7209302325581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9F-46FF-9E0E-CD2F52EAD1EB}"/>
                </c:ext>
              </c:extLst>
            </c:dLbl>
            <c:dLbl>
              <c:idx val="4"/>
              <c:layout>
                <c:manualLayout>
                  <c:x val="-2.3148148148148147E-3"/>
                  <c:y val="9.3023255813953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99F-46FF-9E0E-CD2F52EAD1EB}"/>
                </c:ext>
              </c:extLst>
            </c:dLbl>
            <c:dLbl>
              <c:idx val="5"/>
              <c:layout>
                <c:manualLayout>
                  <c:x val="-8.4875562720133283E-17"/>
                  <c:y val="8.7209302325581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99F-46FF-9E0E-CD2F52EAD1EB}"/>
                </c:ext>
              </c:extLst>
            </c:dLbl>
            <c:dLbl>
              <c:idx val="6"/>
              <c:layout>
                <c:manualLayout>
                  <c:x val="-8.4875562720133283E-17"/>
                  <c:y val="9.3023255813953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99F-46FF-9E0E-CD2F52EAD1EB}"/>
                </c:ext>
              </c:extLst>
            </c:dLbl>
            <c:dLbl>
              <c:idx val="7"/>
              <c:layout>
                <c:manualLayout>
                  <c:x val="0"/>
                  <c:y val="8.7209302325581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99F-46FF-9E0E-CD2F52EAD1E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'Ark1'!$A$2:$A$9</c:f>
              <c:numCache>
                <c:formatCode>General</c:formatCode>
                <c:ptCount val="8"/>
                <c:pt idx="0">
                  <c:v>2013</c:v>
                </c:pt>
                <c:pt idx="1">
                  <c:v>2014</c:v>
                </c:pt>
                <c:pt idx="2">
                  <c:v>2015</c:v>
                </c:pt>
                <c:pt idx="3">
                  <c:v>2016</c:v>
                </c:pt>
                <c:pt idx="4">
                  <c:v>2017</c:v>
                </c:pt>
                <c:pt idx="5">
                  <c:v>2018</c:v>
                </c:pt>
                <c:pt idx="6">
                  <c:v>2019</c:v>
                </c:pt>
                <c:pt idx="7">
                  <c:v>2020</c:v>
                </c:pt>
              </c:numCache>
            </c:numRef>
          </c:cat>
          <c:val>
            <c:numRef>
              <c:f>'Ark1'!$B$2:$B$9</c:f>
              <c:numCache>
                <c:formatCode>General</c:formatCode>
                <c:ptCount val="8"/>
                <c:pt idx="0">
                  <c:v>14</c:v>
                </c:pt>
                <c:pt idx="1">
                  <c:v>13.7</c:v>
                </c:pt>
                <c:pt idx="2">
                  <c:v>12.9</c:v>
                </c:pt>
                <c:pt idx="3">
                  <c:v>14</c:v>
                </c:pt>
                <c:pt idx="4">
                  <c:v>15.4</c:v>
                </c:pt>
                <c:pt idx="5">
                  <c:v>15.9</c:v>
                </c:pt>
                <c:pt idx="6">
                  <c:v>16.399999999999999</c:v>
                </c:pt>
                <c:pt idx="7">
                  <c:v>16.100000000000001</c:v>
                </c:pt>
              </c:numCache>
            </c:numRef>
          </c:val>
          <c:extLst>
            <c:ext xmlns:c16="http://schemas.microsoft.com/office/drawing/2014/chart" uri="{C3380CC4-5D6E-409C-BE32-E72D297353CC}">
              <c16:uniqueId val="{00000000-099F-46FF-9E0E-CD2F52EAD1EB}"/>
            </c:ext>
          </c:extLst>
        </c:ser>
        <c:ser>
          <c:idx val="1"/>
          <c:order val="1"/>
          <c:tx>
            <c:strRef>
              <c:f>'Ark1'!$C$1</c:f>
              <c:strCache>
                <c:ptCount val="1"/>
                <c:pt idx="0">
                  <c:v>Inflasjonsjustert (2020-kroner)</c:v>
                </c:pt>
              </c:strCache>
            </c:strRef>
          </c:tx>
          <c:spPr>
            <a:solidFill>
              <a:schemeClr val="accent6"/>
            </a:solidFill>
            <a:ln w="3175">
              <a:solidFill>
                <a:schemeClr val="tx1"/>
              </a:solidFill>
            </a:ln>
            <a:effectLst/>
          </c:spPr>
          <c:invertIfNegative val="0"/>
          <c:dLbls>
            <c:dLbl>
              <c:idx val="0"/>
              <c:layout>
                <c:manualLayout>
                  <c:x val="-2.1218890680033321E-17"/>
                  <c:y val="9.3023255813953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9F-46FF-9E0E-CD2F52EAD1EB}"/>
                </c:ext>
              </c:extLst>
            </c:dLbl>
            <c:dLbl>
              <c:idx val="1"/>
              <c:layout>
                <c:manualLayout>
                  <c:x val="0"/>
                  <c:y val="9.3023255813953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9F-46FF-9E0E-CD2F52EAD1EB}"/>
                </c:ext>
              </c:extLst>
            </c:dLbl>
            <c:dLbl>
              <c:idx val="2"/>
              <c:layout>
                <c:manualLayout>
                  <c:x val="0"/>
                  <c:y val="8.7209302325581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9F-46FF-9E0E-CD2F52EAD1EB}"/>
                </c:ext>
              </c:extLst>
            </c:dLbl>
            <c:dLbl>
              <c:idx val="3"/>
              <c:layout>
                <c:manualLayout>
                  <c:x val="-8.4875562720133283E-17"/>
                  <c:y val="8.7209302325581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9F-46FF-9E0E-CD2F52EAD1EB}"/>
                </c:ext>
              </c:extLst>
            </c:dLbl>
            <c:dLbl>
              <c:idx val="4"/>
              <c:layout>
                <c:manualLayout>
                  <c:x val="-2.3148148148148997E-3"/>
                  <c:y val="8.7209302325581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99F-46FF-9E0E-CD2F52EAD1EB}"/>
                </c:ext>
              </c:extLst>
            </c:dLbl>
            <c:dLbl>
              <c:idx val="5"/>
              <c:layout>
                <c:manualLayout>
                  <c:x val="-2.3148148148148997E-3"/>
                  <c:y val="8.7209302325581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99F-46FF-9E0E-CD2F52EAD1EB}"/>
                </c:ext>
              </c:extLst>
            </c:dLbl>
            <c:dLbl>
              <c:idx val="6"/>
              <c:layout>
                <c:manualLayout>
                  <c:x val="0"/>
                  <c:y val="9.3023255813953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99F-46FF-9E0E-CD2F52EAD1EB}"/>
                </c:ext>
              </c:extLst>
            </c:dLbl>
            <c:dLbl>
              <c:idx val="7"/>
              <c:layout>
                <c:manualLayout>
                  <c:x val="0"/>
                  <c:y val="8.7209302325581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99F-46FF-9E0E-CD2F52EAD1E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'Ark1'!$A$2:$A$9</c:f>
              <c:numCache>
                <c:formatCode>General</c:formatCode>
                <c:ptCount val="8"/>
                <c:pt idx="0">
                  <c:v>2013</c:v>
                </c:pt>
                <c:pt idx="1">
                  <c:v>2014</c:v>
                </c:pt>
                <c:pt idx="2">
                  <c:v>2015</c:v>
                </c:pt>
                <c:pt idx="3">
                  <c:v>2016</c:v>
                </c:pt>
                <c:pt idx="4">
                  <c:v>2017</c:v>
                </c:pt>
                <c:pt idx="5">
                  <c:v>2018</c:v>
                </c:pt>
                <c:pt idx="6">
                  <c:v>2019</c:v>
                </c:pt>
                <c:pt idx="7">
                  <c:v>2020</c:v>
                </c:pt>
              </c:numCache>
            </c:numRef>
          </c:cat>
          <c:val>
            <c:numRef>
              <c:f>'Ark1'!$C$2:$C$9</c:f>
              <c:numCache>
                <c:formatCode>General</c:formatCode>
                <c:ptCount val="8"/>
                <c:pt idx="0">
                  <c:v>16.399999999999999</c:v>
                </c:pt>
                <c:pt idx="1">
                  <c:v>15.7</c:v>
                </c:pt>
                <c:pt idx="2">
                  <c:v>14.5</c:v>
                </c:pt>
                <c:pt idx="3">
                  <c:v>15.2</c:v>
                </c:pt>
                <c:pt idx="4">
                  <c:v>16.399999999999999</c:v>
                </c:pt>
                <c:pt idx="5">
                  <c:v>16.5</c:v>
                </c:pt>
                <c:pt idx="6">
                  <c:v>16.600000000000001</c:v>
                </c:pt>
                <c:pt idx="7">
                  <c:v>16.100000000000001</c:v>
                </c:pt>
              </c:numCache>
            </c:numRef>
          </c:val>
          <c:extLst>
            <c:ext xmlns:c16="http://schemas.microsoft.com/office/drawing/2014/chart" uri="{C3380CC4-5D6E-409C-BE32-E72D297353CC}">
              <c16:uniqueId val="{00000001-099F-46FF-9E0E-CD2F52EAD1EB}"/>
            </c:ext>
          </c:extLst>
        </c:ser>
        <c:dLbls>
          <c:showLegendKey val="0"/>
          <c:showVal val="0"/>
          <c:showCatName val="0"/>
          <c:showSerName val="0"/>
          <c:showPercent val="0"/>
          <c:showBubbleSize val="0"/>
        </c:dLbls>
        <c:gapWidth val="100"/>
        <c:overlap val="-27"/>
        <c:axId val="911757856"/>
        <c:axId val="337694832"/>
      </c:barChart>
      <c:catAx>
        <c:axId val="91175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crossAx val="337694832"/>
        <c:crosses val="autoZero"/>
        <c:auto val="1"/>
        <c:lblAlgn val="ctr"/>
        <c:lblOffset val="100"/>
        <c:noMultiLvlLbl val="0"/>
      </c:catAx>
      <c:valAx>
        <c:axId val="337694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91175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Nominelt</c:v>
                </c:pt>
              </c:strCache>
            </c:strRef>
          </c:tx>
          <c:spPr>
            <a:solidFill>
              <a:schemeClr val="accent1"/>
            </a:solidFill>
            <a:ln w="3175">
              <a:solidFill>
                <a:schemeClr val="tx1"/>
              </a:solidFill>
            </a:ln>
            <a:effectLst/>
          </c:spPr>
          <c:invertIfNegative val="0"/>
          <c:dLbls>
            <c:dLbl>
              <c:idx val="0"/>
              <c:layout>
                <c:manualLayout>
                  <c:x val="0"/>
                  <c:y val="8.1280162560325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63-4C86-BB61-BC8CD53347E5}"/>
                </c:ext>
              </c:extLst>
            </c:dLbl>
            <c:dLbl>
              <c:idx val="1"/>
              <c:layout>
                <c:manualLayout>
                  <c:x val="2.1218890680033321E-17"/>
                  <c:y val="8.1280162560325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63-4C86-BB61-BC8CD53347E5}"/>
                </c:ext>
              </c:extLst>
            </c:dLbl>
            <c:dLbl>
              <c:idx val="2"/>
              <c:layout>
                <c:manualLayout>
                  <c:x val="0"/>
                  <c:y val="8.1280162560325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63-4C86-BB61-BC8CD53347E5}"/>
                </c:ext>
              </c:extLst>
            </c:dLbl>
            <c:dLbl>
              <c:idx val="3"/>
              <c:layout>
                <c:manualLayout>
                  <c:x val="0"/>
                  <c:y val="8.1280162560325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63-4C86-BB61-BC8CD53347E5}"/>
                </c:ext>
              </c:extLst>
            </c:dLbl>
            <c:dLbl>
              <c:idx val="4"/>
              <c:layout>
                <c:manualLayout>
                  <c:x val="0"/>
                  <c:y val="8.1280162560325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363-4C86-BB61-BC8CD53347E5}"/>
                </c:ext>
              </c:extLst>
            </c:dLbl>
            <c:dLbl>
              <c:idx val="5"/>
              <c:layout>
                <c:manualLayout>
                  <c:x val="0"/>
                  <c:y val="8.1280162560325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363-4C86-BB61-BC8CD53347E5}"/>
                </c:ext>
              </c:extLst>
            </c:dLbl>
            <c:dLbl>
              <c:idx val="6"/>
              <c:layout>
                <c:manualLayout>
                  <c:x val="0"/>
                  <c:y val="8.1280162560325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363-4C86-BB61-BC8CD53347E5}"/>
                </c:ext>
              </c:extLst>
            </c:dLbl>
            <c:dLbl>
              <c:idx val="7"/>
              <c:layout>
                <c:manualLayout>
                  <c:x val="0"/>
                  <c:y val="8.1280162560325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363-4C86-BB61-BC8CD53347E5}"/>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'Ark1'!$A$2:$A$9</c:f>
              <c:numCache>
                <c:formatCode>General</c:formatCode>
                <c:ptCount val="8"/>
                <c:pt idx="0">
                  <c:v>2013</c:v>
                </c:pt>
                <c:pt idx="1">
                  <c:v>2014</c:v>
                </c:pt>
                <c:pt idx="2">
                  <c:v>2015</c:v>
                </c:pt>
                <c:pt idx="3">
                  <c:v>2016</c:v>
                </c:pt>
                <c:pt idx="4">
                  <c:v>2017</c:v>
                </c:pt>
                <c:pt idx="5">
                  <c:v>2018</c:v>
                </c:pt>
                <c:pt idx="6">
                  <c:v>2019</c:v>
                </c:pt>
                <c:pt idx="7">
                  <c:v>2020</c:v>
                </c:pt>
              </c:numCache>
            </c:numRef>
          </c:cat>
          <c:val>
            <c:numRef>
              <c:f>'Ark1'!$B$2:$B$9</c:f>
              <c:numCache>
                <c:formatCode>General</c:formatCode>
                <c:ptCount val="8"/>
                <c:pt idx="0">
                  <c:v>6.7</c:v>
                </c:pt>
                <c:pt idx="1">
                  <c:v>6.8</c:v>
                </c:pt>
                <c:pt idx="2">
                  <c:v>6.5</c:v>
                </c:pt>
                <c:pt idx="3">
                  <c:v>7.3</c:v>
                </c:pt>
                <c:pt idx="4">
                  <c:v>8.5</c:v>
                </c:pt>
                <c:pt idx="5">
                  <c:v>9.1</c:v>
                </c:pt>
                <c:pt idx="6">
                  <c:v>9.6999999999999993</c:v>
                </c:pt>
                <c:pt idx="7">
                  <c:v>8.1999999999999993</c:v>
                </c:pt>
              </c:numCache>
            </c:numRef>
          </c:val>
          <c:extLst>
            <c:ext xmlns:c16="http://schemas.microsoft.com/office/drawing/2014/chart" uri="{C3380CC4-5D6E-409C-BE32-E72D297353CC}">
              <c16:uniqueId val="{00000000-7363-4C86-BB61-BC8CD53347E5}"/>
            </c:ext>
          </c:extLst>
        </c:ser>
        <c:ser>
          <c:idx val="1"/>
          <c:order val="1"/>
          <c:tx>
            <c:strRef>
              <c:f>'Ark1'!$C$1</c:f>
              <c:strCache>
                <c:ptCount val="1"/>
                <c:pt idx="0">
                  <c:v>Inflasjonsjustert (2020-kroner)</c:v>
                </c:pt>
              </c:strCache>
            </c:strRef>
          </c:tx>
          <c:spPr>
            <a:solidFill>
              <a:schemeClr val="accent6"/>
            </a:solidFill>
            <a:ln w="3175">
              <a:solidFill>
                <a:schemeClr val="tx1"/>
              </a:solidFill>
            </a:ln>
            <a:effectLst/>
          </c:spPr>
          <c:invertIfNegative val="0"/>
          <c:dLbls>
            <c:dLbl>
              <c:idx val="0"/>
              <c:layout>
                <c:manualLayout>
                  <c:x val="-2.1218890680033321E-17"/>
                  <c:y val="8.1280162560325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63-4C86-BB61-BC8CD53347E5}"/>
                </c:ext>
              </c:extLst>
            </c:dLbl>
            <c:dLbl>
              <c:idx val="1"/>
              <c:layout>
                <c:manualLayout>
                  <c:x val="0"/>
                  <c:y val="8.6360172720345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63-4C86-BB61-BC8CD53347E5}"/>
                </c:ext>
              </c:extLst>
            </c:dLbl>
            <c:dLbl>
              <c:idx val="2"/>
              <c:layout>
                <c:manualLayout>
                  <c:x val="-8.4875562720133283E-17"/>
                  <c:y val="8.6360172720345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63-4C86-BB61-BC8CD53347E5}"/>
                </c:ext>
              </c:extLst>
            </c:dLbl>
            <c:dLbl>
              <c:idx val="3"/>
              <c:layout>
                <c:manualLayout>
                  <c:x val="0"/>
                  <c:y val="8.6360172720345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63-4C86-BB61-BC8CD53347E5}"/>
                </c:ext>
              </c:extLst>
            </c:dLbl>
            <c:dLbl>
              <c:idx val="4"/>
              <c:layout>
                <c:manualLayout>
                  <c:x val="0"/>
                  <c:y val="8.6360172720345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363-4C86-BB61-BC8CD53347E5}"/>
                </c:ext>
              </c:extLst>
            </c:dLbl>
            <c:dLbl>
              <c:idx val="5"/>
              <c:layout>
                <c:manualLayout>
                  <c:x val="-8.4875562720133283E-17"/>
                  <c:y val="8.1280162560325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363-4C86-BB61-BC8CD53347E5}"/>
                </c:ext>
              </c:extLst>
            </c:dLbl>
            <c:dLbl>
              <c:idx val="6"/>
              <c:layout>
                <c:manualLayout>
                  <c:x val="0"/>
                  <c:y val="8.6360172720345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363-4C86-BB61-BC8CD53347E5}"/>
                </c:ext>
              </c:extLst>
            </c:dLbl>
            <c:dLbl>
              <c:idx val="7"/>
              <c:layout>
                <c:manualLayout>
                  <c:x val="-1.6975112544026657E-16"/>
                  <c:y val="8.1280162560325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363-4C86-BB61-BC8CD53347E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'Ark1'!$A$2:$A$9</c:f>
              <c:numCache>
                <c:formatCode>General</c:formatCode>
                <c:ptCount val="8"/>
                <c:pt idx="0">
                  <c:v>2013</c:v>
                </c:pt>
                <c:pt idx="1">
                  <c:v>2014</c:v>
                </c:pt>
                <c:pt idx="2">
                  <c:v>2015</c:v>
                </c:pt>
                <c:pt idx="3">
                  <c:v>2016</c:v>
                </c:pt>
                <c:pt idx="4">
                  <c:v>2017</c:v>
                </c:pt>
                <c:pt idx="5">
                  <c:v>2018</c:v>
                </c:pt>
                <c:pt idx="6">
                  <c:v>2019</c:v>
                </c:pt>
                <c:pt idx="7">
                  <c:v>2020</c:v>
                </c:pt>
              </c:numCache>
            </c:numRef>
          </c:cat>
          <c:val>
            <c:numRef>
              <c:f>'Ark1'!$C$2:$C$9</c:f>
              <c:numCache>
                <c:formatCode>General</c:formatCode>
                <c:ptCount val="8"/>
                <c:pt idx="0">
                  <c:v>7.9</c:v>
                </c:pt>
                <c:pt idx="1">
                  <c:v>7.8</c:v>
                </c:pt>
                <c:pt idx="2">
                  <c:v>7.3</c:v>
                </c:pt>
                <c:pt idx="3">
                  <c:v>7.9</c:v>
                </c:pt>
                <c:pt idx="4">
                  <c:v>9</c:v>
                </c:pt>
                <c:pt idx="5">
                  <c:v>9.4</c:v>
                </c:pt>
                <c:pt idx="6">
                  <c:v>9.8000000000000007</c:v>
                </c:pt>
                <c:pt idx="7">
                  <c:v>8.1999999999999993</c:v>
                </c:pt>
              </c:numCache>
            </c:numRef>
          </c:val>
          <c:extLst>
            <c:ext xmlns:c16="http://schemas.microsoft.com/office/drawing/2014/chart" uri="{C3380CC4-5D6E-409C-BE32-E72D297353CC}">
              <c16:uniqueId val="{00000001-7363-4C86-BB61-BC8CD53347E5}"/>
            </c:ext>
          </c:extLst>
        </c:ser>
        <c:dLbls>
          <c:showLegendKey val="0"/>
          <c:showVal val="0"/>
          <c:showCatName val="0"/>
          <c:showSerName val="0"/>
          <c:showPercent val="0"/>
          <c:showBubbleSize val="0"/>
        </c:dLbls>
        <c:gapWidth val="100"/>
        <c:overlap val="-27"/>
        <c:axId val="911779056"/>
        <c:axId val="337702320"/>
      </c:barChart>
      <c:catAx>
        <c:axId val="91177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crossAx val="337702320"/>
        <c:crosses val="autoZero"/>
        <c:auto val="1"/>
        <c:lblAlgn val="ctr"/>
        <c:lblOffset val="100"/>
        <c:noMultiLvlLbl val="0"/>
      </c:catAx>
      <c:valAx>
        <c:axId val="33770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91177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029064202844932E-2"/>
          <c:y val="2.3607999044722442E-2"/>
          <c:w val="0.94724495594253932"/>
          <c:h val="0.90419493281448649"/>
        </c:manualLayout>
      </c:layout>
      <c:barChart>
        <c:barDir val="col"/>
        <c:grouping val="stacked"/>
        <c:varyColors val="0"/>
        <c:ser>
          <c:idx val="0"/>
          <c:order val="0"/>
          <c:tx>
            <c:strRef>
              <c:f>'Ark1'!$B$1</c:f>
              <c:strCache>
                <c:ptCount val="1"/>
                <c:pt idx="0">
                  <c:v>Formueskatt på arbeidende, næringsrelatert kapital, mrd. kr</c:v>
                </c:pt>
              </c:strCache>
            </c:strRef>
          </c:tx>
          <c:spPr>
            <a:solidFill>
              <a:schemeClr val="accent6"/>
            </a:solidFill>
            <a:ln>
              <a:solidFill>
                <a:schemeClr val="tx1"/>
              </a:solidFill>
            </a:ln>
          </c:spPr>
          <c:invertIfNegative val="0"/>
          <c:dLbls>
            <c:spPr>
              <a:noFill/>
              <a:ln>
                <a:noFill/>
              </a:ln>
              <a:effectLst/>
            </c:spPr>
            <c:txPr>
              <a:bodyPr/>
              <a:lstStyle/>
              <a:p>
                <a:pPr>
                  <a:defRPr b="1">
                    <a:solidFill>
                      <a:schemeClr val="bg1"/>
                    </a:solidFill>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'Ark1'!$A$2:$A$4</c:f>
              <c:numCache>
                <c:formatCode>General</c:formatCode>
                <c:ptCount val="3"/>
                <c:pt idx="0">
                  <c:v>2005</c:v>
                </c:pt>
                <c:pt idx="1">
                  <c:v>2013</c:v>
                </c:pt>
                <c:pt idx="2">
                  <c:v>2019</c:v>
                </c:pt>
              </c:numCache>
            </c:numRef>
          </c:cat>
          <c:val>
            <c:numRef>
              <c:f>'Ark1'!$B$2:$B$4</c:f>
              <c:numCache>
                <c:formatCode>General</c:formatCode>
                <c:ptCount val="3"/>
                <c:pt idx="0">
                  <c:v>3</c:v>
                </c:pt>
                <c:pt idx="1">
                  <c:v>7.7</c:v>
                </c:pt>
                <c:pt idx="2">
                  <c:v>9.6999999999999993</c:v>
                </c:pt>
              </c:numCache>
            </c:numRef>
          </c:val>
          <c:extLst>
            <c:ext xmlns:c16="http://schemas.microsoft.com/office/drawing/2014/chart" uri="{C3380CC4-5D6E-409C-BE32-E72D297353CC}">
              <c16:uniqueId val="{00000000-9504-46E0-850F-9D70963C5C7C}"/>
            </c:ext>
          </c:extLst>
        </c:ser>
        <c:ser>
          <c:idx val="1"/>
          <c:order val="1"/>
          <c:tx>
            <c:strRef>
              <c:f>'Ark1'!$C$1</c:f>
              <c:strCache>
                <c:ptCount val="1"/>
                <c:pt idx="0">
                  <c:v>Utbytteskatt, mrd. kr</c:v>
                </c:pt>
              </c:strCache>
            </c:strRef>
          </c:tx>
          <c:spPr>
            <a:solidFill>
              <a:schemeClr val="accent5"/>
            </a:solidFill>
            <a:ln>
              <a:solidFill>
                <a:schemeClr val="tx1"/>
              </a:solidFill>
            </a:ln>
          </c:spPr>
          <c:invertIfNegative val="0"/>
          <c:dLbls>
            <c:dLbl>
              <c:idx val="0"/>
              <c:layout>
                <c:manualLayout>
                  <c:x val="-2.2060445621001545E-3"/>
                  <c:y val="-3.5774278215223221E-2"/>
                </c:manualLayout>
              </c:layout>
              <c:spPr>
                <a:noFill/>
                <a:ln>
                  <a:noFill/>
                </a:ln>
                <a:effectLst/>
              </c:spPr>
              <c:txPr>
                <a:bodyPr wrap="square" lIns="38100" tIns="19050" rIns="38100" bIns="19050" anchor="ctr">
                  <a:spAutoFit/>
                </a:bodyPr>
                <a:lstStyle/>
                <a:p>
                  <a:pPr>
                    <a:defRPr b="1"/>
                  </a:pPr>
                  <a:endParaRPr lang="nb-N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04-46E0-850F-9D70963C5C7C}"/>
                </c:ext>
              </c:extLst>
            </c:dLbl>
            <c:dLbl>
              <c:idx val="1"/>
              <c:spPr>
                <a:noFill/>
                <a:ln>
                  <a:noFill/>
                </a:ln>
                <a:effectLst/>
              </c:spPr>
              <c:txPr>
                <a:bodyPr wrap="square" lIns="38100" tIns="19050" rIns="38100" bIns="19050" anchor="ctr">
                  <a:spAutoFit/>
                </a:bodyPr>
                <a:lstStyle/>
                <a:p>
                  <a:pPr>
                    <a:defRPr b="1">
                      <a:solidFill>
                        <a:schemeClr val="bg1"/>
                      </a:solidFill>
                    </a:defRPr>
                  </a:pPr>
                  <a:endParaRPr lang="nb-NO"/>
                </a:p>
              </c:txPr>
              <c:showLegendKey val="0"/>
              <c:showVal val="1"/>
              <c:showCatName val="0"/>
              <c:showSerName val="0"/>
              <c:showPercent val="0"/>
              <c:showBubbleSize val="0"/>
              <c:extLst>
                <c:ext xmlns:c16="http://schemas.microsoft.com/office/drawing/2014/chart" uri="{C3380CC4-5D6E-409C-BE32-E72D297353CC}">
                  <c16:uniqueId val="{00000002-9504-46E0-850F-9D70963C5C7C}"/>
                </c:ext>
              </c:extLst>
            </c:dLbl>
            <c:dLbl>
              <c:idx val="2"/>
              <c:spPr>
                <a:noFill/>
                <a:ln>
                  <a:noFill/>
                </a:ln>
                <a:effectLst/>
              </c:spPr>
              <c:txPr>
                <a:bodyPr wrap="square" lIns="38100" tIns="19050" rIns="38100" bIns="19050" anchor="ctr">
                  <a:spAutoFit/>
                </a:bodyPr>
                <a:lstStyle/>
                <a:p>
                  <a:pPr>
                    <a:defRPr b="1">
                      <a:solidFill>
                        <a:schemeClr val="bg1"/>
                      </a:solidFill>
                    </a:defRPr>
                  </a:pPr>
                  <a:endParaRPr lang="nb-NO"/>
                </a:p>
              </c:txPr>
              <c:showLegendKey val="0"/>
              <c:showVal val="1"/>
              <c:showCatName val="0"/>
              <c:showSerName val="0"/>
              <c:showPercent val="0"/>
              <c:showBubbleSize val="0"/>
              <c:extLst>
                <c:ext xmlns:c16="http://schemas.microsoft.com/office/drawing/2014/chart" uri="{C3380CC4-5D6E-409C-BE32-E72D297353CC}">
                  <c16:uniqueId val="{00000003-9504-46E0-850F-9D70963C5C7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'Ark1'!$A$2:$A$4</c:f>
              <c:numCache>
                <c:formatCode>General</c:formatCode>
                <c:ptCount val="3"/>
                <c:pt idx="0">
                  <c:v>2005</c:v>
                </c:pt>
                <c:pt idx="1">
                  <c:v>2013</c:v>
                </c:pt>
                <c:pt idx="2">
                  <c:v>2019</c:v>
                </c:pt>
              </c:numCache>
            </c:numRef>
          </c:cat>
          <c:val>
            <c:numRef>
              <c:f>'Ark1'!$C$2:$C$4</c:f>
              <c:numCache>
                <c:formatCode>General</c:formatCode>
                <c:ptCount val="3"/>
                <c:pt idx="0">
                  <c:v>0</c:v>
                </c:pt>
                <c:pt idx="1">
                  <c:v>9.3000000000000007</c:v>
                </c:pt>
                <c:pt idx="2">
                  <c:v>21</c:v>
                </c:pt>
              </c:numCache>
            </c:numRef>
          </c:val>
          <c:extLst>
            <c:ext xmlns:c16="http://schemas.microsoft.com/office/drawing/2014/chart" uri="{C3380CC4-5D6E-409C-BE32-E72D297353CC}">
              <c16:uniqueId val="{00000004-9504-46E0-850F-9D70963C5C7C}"/>
            </c:ext>
          </c:extLst>
        </c:ser>
        <c:dLbls>
          <c:showLegendKey val="0"/>
          <c:showVal val="0"/>
          <c:showCatName val="0"/>
          <c:showSerName val="0"/>
          <c:showPercent val="0"/>
          <c:showBubbleSize val="0"/>
        </c:dLbls>
        <c:gapWidth val="150"/>
        <c:overlap val="100"/>
        <c:axId val="471540344"/>
        <c:axId val="471547400"/>
      </c:barChart>
      <c:catAx>
        <c:axId val="471540344"/>
        <c:scaling>
          <c:orientation val="minMax"/>
        </c:scaling>
        <c:delete val="0"/>
        <c:axPos val="b"/>
        <c:numFmt formatCode="General" sourceLinked="1"/>
        <c:majorTickMark val="out"/>
        <c:minorTickMark val="none"/>
        <c:tickLblPos val="nextTo"/>
        <c:txPr>
          <a:bodyPr/>
          <a:lstStyle/>
          <a:p>
            <a:pPr>
              <a:defRPr b="1"/>
            </a:pPr>
            <a:endParaRPr lang="nb-NO"/>
          </a:p>
        </c:txPr>
        <c:crossAx val="471547400"/>
        <c:crosses val="autoZero"/>
        <c:auto val="1"/>
        <c:lblAlgn val="ctr"/>
        <c:lblOffset val="100"/>
        <c:noMultiLvlLbl val="0"/>
      </c:catAx>
      <c:valAx>
        <c:axId val="471547400"/>
        <c:scaling>
          <c:orientation val="minMax"/>
          <c:max val="35"/>
        </c:scaling>
        <c:delete val="0"/>
        <c:axPos val="l"/>
        <c:majorGridlines/>
        <c:numFmt formatCode="General" sourceLinked="1"/>
        <c:majorTickMark val="out"/>
        <c:minorTickMark val="none"/>
        <c:tickLblPos val="nextTo"/>
        <c:crossAx val="471540344"/>
        <c:crosses val="autoZero"/>
        <c:crossBetween val="between"/>
      </c:valAx>
      <c:spPr>
        <a:noFill/>
        <a:ln w="25400">
          <a:noFill/>
        </a:ln>
      </c:spPr>
    </c:plotArea>
    <c:legend>
      <c:legendPos val="b"/>
      <c:layout>
        <c:manualLayout>
          <c:xMode val="edge"/>
          <c:yMode val="edge"/>
          <c:x val="1.690924471634957E-2"/>
          <c:y val="6.9136527425597227E-2"/>
          <c:w val="0.77425545996029121"/>
          <c:h val="0.145811853947211"/>
        </c:manualLayout>
      </c:layout>
      <c:overlay val="0"/>
    </c:legend>
    <c:plotVisOnly val="1"/>
    <c:dispBlanksAs val="gap"/>
    <c:showDLblsOverMax val="0"/>
  </c:chart>
  <c:spPr>
    <a:ln>
      <a:noFill/>
    </a:ln>
  </c:spPr>
  <c:txPr>
    <a:bodyPr/>
    <a:lstStyle/>
    <a:p>
      <a:pPr>
        <a:defRPr sz="1000" baseline="0">
          <a:solidFill>
            <a:sysClr val="windowText" lastClr="000000"/>
          </a:solidFill>
          <a:latin typeface="Century Gothic" panose="020B0502020202020204" pitchFamily="34" charset="0"/>
        </a:defRPr>
      </a:pPr>
      <a:endParaRPr lang="nb-N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12397752988016E-2"/>
          <c:y val="4.3650793650793648E-2"/>
          <c:w val="0.41250734757417007"/>
          <c:h val="0.91269841269841268"/>
        </c:manualLayout>
      </c:layout>
      <c:barChart>
        <c:barDir val="col"/>
        <c:grouping val="stacked"/>
        <c:varyColors val="0"/>
        <c:ser>
          <c:idx val="0"/>
          <c:order val="0"/>
          <c:tx>
            <c:strRef>
              <c:f>'Ark1'!$B$1</c:f>
              <c:strCache>
                <c:ptCount val="1"/>
                <c:pt idx="0">
                  <c:v>Estimert inntektsskatt utenom formuesskatt og utbytteskatt</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Kategori 1</c:v>
                </c:pt>
              </c:strCache>
            </c:strRef>
          </c:cat>
          <c:val>
            <c:numRef>
              <c:f>'Ark1'!$B$2</c:f>
              <c:numCache>
                <c:formatCode>General</c:formatCode>
                <c:ptCount val="1"/>
                <c:pt idx="0">
                  <c:v>72.8</c:v>
                </c:pt>
              </c:numCache>
            </c:numRef>
          </c:val>
          <c:extLst>
            <c:ext xmlns:c16="http://schemas.microsoft.com/office/drawing/2014/chart" uri="{C3380CC4-5D6E-409C-BE32-E72D297353CC}">
              <c16:uniqueId val="{00000000-AB77-45B7-AEE6-690FC5214B6F}"/>
            </c:ext>
          </c:extLst>
        </c:ser>
        <c:ser>
          <c:idx val="1"/>
          <c:order val="1"/>
          <c:tx>
            <c:strRef>
              <c:f>'Ark1'!$C$1</c:f>
              <c:strCache>
                <c:ptCount val="1"/>
                <c:pt idx="0">
                  <c:v>Estimert utbytteskatt</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Kategori 1</c:v>
                </c:pt>
              </c:strCache>
            </c:strRef>
          </c:cat>
          <c:val>
            <c:numRef>
              <c:f>'Ark1'!$C$2</c:f>
              <c:numCache>
                <c:formatCode>General</c:formatCode>
                <c:ptCount val="1"/>
                <c:pt idx="0">
                  <c:v>10</c:v>
                </c:pt>
              </c:numCache>
            </c:numRef>
          </c:val>
          <c:extLst>
            <c:ext xmlns:c16="http://schemas.microsoft.com/office/drawing/2014/chart" uri="{C3380CC4-5D6E-409C-BE32-E72D297353CC}">
              <c16:uniqueId val="{00000001-AB77-45B7-AEE6-690FC5214B6F}"/>
            </c:ext>
          </c:extLst>
        </c:ser>
        <c:ser>
          <c:idx val="2"/>
          <c:order val="2"/>
          <c:tx>
            <c:strRef>
              <c:f>'Ark1'!$D$1</c:f>
              <c:strCache>
                <c:ptCount val="1"/>
                <c:pt idx="0">
                  <c:v>Estimert formuesskatt på private aktiva</c:v>
                </c:pt>
              </c:strCache>
            </c:strRef>
          </c:tx>
          <c:spPr>
            <a:solidFill>
              <a:schemeClr val="accent6">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Kategori 1</c:v>
                </c:pt>
              </c:strCache>
            </c:strRef>
          </c:cat>
          <c:val>
            <c:numRef>
              <c:f>'Ark1'!$D$2</c:f>
              <c:numCache>
                <c:formatCode>General</c:formatCode>
                <c:ptCount val="1"/>
                <c:pt idx="0">
                  <c:v>4.4000000000000004</c:v>
                </c:pt>
              </c:numCache>
            </c:numRef>
          </c:val>
          <c:extLst>
            <c:ext xmlns:c16="http://schemas.microsoft.com/office/drawing/2014/chart" uri="{C3380CC4-5D6E-409C-BE32-E72D297353CC}">
              <c16:uniqueId val="{00000002-AB77-45B7-AEE6-690FC5214B6F}"/>
            </c:ext>
          </c:extLst>
        </c:ser>
        <c:ser>
          <c:idx val="3"/>
          <c:order val="3"/>
          <c:tx>
            <c:strRef>
              <c:f>'Ark1'!$E$1</c:f>
              <c:strCache>
                <c:ptCount val="1"/>
                <c:pt idx="0">
                  <c:v>Estimert formuesskatt på arbeidende kapital</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Kategori 1</c:v>
                </c:pt>
              </c:strCache>
            </c:strRef>
          </c:cat>
          <c:val>
            <c:numRef>
              <c:f>'Ark1'!$E$2</c:f>
              <c:numCache>
                <c:formatCode>General</c:formatCode>
                <c:ptCount val="1"/>
                <c:pt idx="0">
                  <c:v>3</c:v>
                </c:pt>
              </c:numCache>
            </c:numRef>
          </c:val>
          <c:extLst>
            <c:ext xmlns:c16="http://schemas.microsoft.com/office/drawing/2014/chart" uri="{C3380CC4-5D6E-409C-BE32-E72D297353CC}">
              <c16:uniqueId val="{00000004-AB77-45B7-AEE6-690FC5214B6F}"/>
            </c:ext>
          </c:extLst>
        </c:ser>
        <c:dLbls>
          <c:showLegendKey val="0"/>
          <c:showVal val="0"/>
          <c:showCatName val="0"/>
          <c:showSerName val="0"/>
          <c:showPercent val="0"/>
          <c:showBubbleSize val="0"/>
        </c:dLbls>
        <c:gapWidth val="150"/>
        <c:overlap val="100"/>
        <c:axId val="162883376"/>
        <c:axId val="1096289440"/>
      </c:barChart>
      <c:catAx>
        <c:axId val="162883376"/>
        <c:scaling>
          <c:orientation val="minMax"/>
        </c:scaling>
        <c:delete val="1"/>
        <c:axPos val="b"/>
        <c:numFmt formatCode="General" sourceLinked="1"/>
        <c:majorTickMark val="none"/>
        <c:minorTickMark val="none"/>
        <c:tickLblPos val="nextTo"/>
        <c:crossAx val="1096289440"/>
        <c:crosses val="autoZero"/>
        <c:auto val="1"/>
        <c:lblAlgn val="ctr"/>
        <c:lblOffset val="100"/>
        <c:noMultiLvlLbl val="0"/>
      </c:catAx>
      <c:valAx>
        <c:axId val="109628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62883376"/>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1" i="0" u="none" strike="noStrike" kern="1200" baseline="0">
                <a:solidFill>
                  <a:schemeClr val="tx1"/>
                </a:solidFill>
                <a:latin typeface="Century Gothic" panose="020B0502020202020204" pitchFamily="34" charset="0"/>
                <a:ea typeface="+mn-ea"/>
                <a:cs typeface="+mn-cs"/>
              </a:defRPr>
            </a:pPr>
            <a:endParaRPr lang="nb-NO"/>
          </a:p>
        </c:txPr>
      </c:legendEntry>
      <c:legendEntry>
        <c:idx val="1"/>
        <c:txPr>
          <a:bodyPr rot="0" spcFirstLastPara="1" vertOverflow="ellipsis" vert="horz" wrap="square" anchor="ctr" anchorCtr="1"/>
          <a:lstStyle/>
          <a:p>
            <a:pPr>
              <a:defRPr sz="800" b="1" i="0" u="none" strike="noStrike" kern="1200" baseline="0">
                <a:solidFill>
                  <a:schemeClr val="tx1"/>
                </a:solidFill>
                <a:latin typeface="Century Gothic" panose="020B0502020202020204" pitchFamily="34" charset="0"/>
                <a:ea typeface="+mn-ea"/>
                <a:cs typeface="+mn-cs"/>
              </a:defRPr>
            </a:pPr>
            <a:endParaRPr lang="nb-NO"/>
          </a:p>
        </c:txPr>
      </c:legendEntry>
      <c:legendEntry>
        <c:idx val="2"/>
        <c:txPr>
          <a:bodyPr rot="0" spcFirstLastPara="1" vertOverflow="ellipsis" vert="horz" wrap="square" anchor="ctr" anchorCtr="1"/>
          <a:lstStyle/>
          <a:p>
            <a:pPr>
              <a:defRPr sz="800" b="1" i="0" u="none" strike="noStrike" kern="1200" baseline="0">
                <a:solidFill>
                  <a:schemeClr val="tx1"/>
                </a:solidFill>
                <a:latin typeface="Century Gothic" panose="020B0502020202020204" pitchFamily="34" charset="0"/>
                <a:ea typeface="+mn-ea"/>
                <a:cs typeface="+mn-cs"/>
              </a:defRPr>
            </a:pPr>
            <a:endParaRPr lang="nb-NO"/>
          </a:p>
        </c:txPr>
      </c:legendEntry>
      <c:legendEntry>
        <c:idx val="3"/>
        <c:txPr>
          <a:bodyPr rot="0" spcFirstLastPara="1" vertOverflow="ellipsis" vert="horz" wrap="square" anchor="ctr" anchorCtr="1"/>
          <a:lstStyle/>
          <a:p>
            <a:pPr>
              <a:defRPr sz="800" b="1" i="0" u="none" strike="noStrike" kern="1200" baseline="0">
                <a:solidFill>
                  <a:schemeClr val="tx1"/>
                </a:solidFill>
                <a:latin typeface="Century Gothic" panose="020B0502020202020204" pitchFamily="34" charset="0"/>
                <a:ea typeface="+mn-ea"/>
                <a:cs typeface="+mn-cs"/>
              </a:defRPr>
            </a:pPr>
            <a:endParaRPr lang="nb-NO"/>
          </a:p>
        </c:txPr>
      </c:legendEntry>
      <c:layout>
        <c:manualLayout>
          <c:xMode val="edge"/>
          <c:yMode val="edge"/>
          <c:x val="0.6190403906648666"/>
          <c:y val="0.12598925134358205"/>
          <c:w val="0.29666393218485099"/>
          <c:h val="0.72199069490179435"/>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'Ark1'!$B$1</c:f>
              <c:strCache>
                <c:ptCount val="1"/>
                <c:pt idx="0">
                  <c:v>0-1 mill. kr</c:v>
                </c:pt>
              </c:strCache>
            </c:strRef>
          </c:tx>
          <c:spPr>
            <a:solidFill>
              <a:schemeClr val="accent1"/>
            </a:solidFill>
            <a:ln>
              <a:noFill/>
            </a:ln>
            <a:effectLst/>
          </c:spPr>
          <c:invertIfNegative val="0"/>
          <c:cat>
            <c:strRef>
              <c:f>'Ark1'!$A$2:$A$3</c:f>
              <c:strCache>
                <c:ptCount val="2"/>
                <c:pt idx="0">
                  <c:v>Identifiserte sysselsatte årsverk med eier som ikke er i formueskatteposisjon</c:v>
                </c:pt>
                <c:pt idx="1">
                  <c:v>Identifiserte sysselsatte årsverk med eller i formueskatteposisjon</c:v>
                </c:pt>
              </c:strCache>
            </c:strRef>
          </c:cat>
          <c:val>
            <c:numRef>
              <c:f>'Ark1'!$B$2:$B$3</c:f>
              <c:numCache>
                <c:formatCode>_-* #,##0_-;\-* #,##0_-;_-* "-"??_-;_-@_-</c:formatCode>
                <c:ptCount val="2"/>
                <c:pt idx="1">
                  <c:v>0</c:v>
                </c:pt>
              </c:numCache>
            </c:numRef>
          </c:val>
          <c:extLst>
            <c:ext xmlns:c16="http://schemas.microsoft.com/office/drawing/2014/chart" uri="{C3380CC4-5D6E-409C-BE32-E72D297353CC}">
              <c16:uniqueId val="{00000000-FFB1-4DAE-8939-9CB3D505A17D}"/>
            </c:ext>
          </c:extLst>
        </c:ser>
        <c:ser>
          <c:idx val="1"/>
          <c:order val="1"/>
          <c:tx>
            <c:strRef>
              <c:f>'Ark1'!$C$1</c:f>
              <c:strCache>
                <c:ptCount val="1"/>
                <c:pt idx="0">
                  <c:v>1-10 mill. kr</c:v>
                </c:pt>
              </c:strCache>
            </c:strRef>
          </c:tx>
          <c:spPr>
            <a:solidFill>
              <a:schemeClr val="accent2"/>
            </a:solidFill>
            <a:ln w="3175">
              <a:solidFill>
                <a:schemeClr val="tx1"/>
              </a:solidFill>
            </a:ln>
            <a:effectLst/>
          </c:spPr>
          <c:invertIfNegative val="0"/>
          <c:dLbls>
            <c:dLbl>
              <c:idx val="1"/>
              <c:showLegendKey val="0"/>
              <c:showVal val="1"/>
              <c:showCatName val="0"/>
              <c:showSerName val="1"/>
              <c:showPercent val="0"/>
              <c:showBubbleSize val="0"/>
              <c:extLst>
                <c:ext xmlns:c15="http://schemas.microsoft.com/office/drawing/2012/chart" uri="{CE6537A1-D6FC-4f65-9D91-7224C49458BB}">
                  <c15:layout>
                    <c:manualLayout>
                      <c:w val="0.16939814814814813"/>
                      <c:h val="0.1227065527065527"/>
                    </c:manualLayout>
                  </c15:layout>
                </c:ext>
                <c:ext xmlns:c16="http://schemas.microsoft.com/office/drawing/2014/chart" uri="{C3380CC4-5D6E-409C-BE32-E72D297353CC}">
                  <c16:uniqueId val="{00000001-FFB1-4DAE-8939-9CB3D505A17D}"/>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Identifiserte sysselsatte årsverk med eier som ikke er i formueskatteposisjon</c:v>
                </c:pt>
                <c:pt idx="1">
                  <c:v>Identifiserte sysselsatte årsverk med eller i formueskatteposisjon</c:v>
                </c:pt>
              </c:strCache>
            </c:strRef>
          </c:cat>
          <c:val>
            <c:numRef>
              <c:f>'Ark1'!$C$2:$C$3</c:f>
              <c:numCache>
                <c:formatCode>_-* #,##0_-;\-* #,##0_-;_-* "-"??_-;_-@_-</c:formatCode>
                <c:ptCount val="2"/>
                <c:pt idx="1">
                  <c:v>181000</c:v>
                </c:pt>
              </c:numCache>
            </c:numRef>
          </c:val>
          <c:extLst>
            <c:ext xmlns:c16="http://schemas.microsoft.com/office/drawing/2014/chart" uri="{C3380CC4-5D6E-409C-BE32-E72D297353CC}">
              <c16:uniqueId val="{00000002-FFB1-4DAE-8939-9CB3D505A17D}"/>
            </c:ext>
          </c:extLst>
        </c:ser>
        <c:ser>
          <c:idx val="2"/>
          <c:order val="2"/>
          <c:tx>
            <c:strRef>
              <c:f>'Ark1'!$D$1</c:f>
              <c:strCache>
                <c:ptCount val="1"/>
                <c:pt idx="0">
                  <c:v>10-50 mill. kr</c:v>
                </c:pt>
              </c:strCache>
            </c:strRef>
          </c:tx>
          <c:spPr>
            <a:solidFill>
              <a:schemeClr val="accent3"/>
            </a:solidFill>
            <a:ln w="3175">
              <a:solidFill>
                <a:schemeClr val="tx1"/>
              </a:solidFill>
            </a:ln>
            <a:effectLst/>
          </c:spPr>
          <c:invertIfNegative val="0"/>
          <c:dLbls>
            <c:dLbl>
              <c:idx val="1"/>
              <c:showLegendKey val="0"/>
              <c:showVal val="1"/>
              <c:showCatName val="0"/>
              <c:showSerName val="1"/>
              <c:showPercent val="0"/>
              <c:showBubbleSize val="0"/>
              <c:extLst>
                <c:ext xmlns:c15="http://schemas.microsoft.com/office/drawing/2012/chart" uri="{CE6537A1-D6FC-4f65-9D91-7224C49458BB}">
                  <c15:layout>
                    <c:manualLayout>
                      <c:w val="0.15550925925925924"/>
                      <c:h val="0.13695156695156696"/>
                    </c:manualLayout>
                  </c15:layout>
                </c:ext>
                <c:ext xmlns:c16="http://schemas.microsoft.com/office/drawing/2014/chart" uri="{C3380CC4-5D6E-409C-BE32-E72D297353CC}">
                  <c16:uniqueId val="{00000003-FFB1-4DAE-8939-9CB3D505A17D}"/>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Identifiserte sysselsatte årsverk med eier som ikke er i formueskatteposisjon</c:v>
                </c:pt>
                <c:pt idx="1">
                  <c:v>Identifiserte sysselsatte årsverk med eller i formueskatteposisjon</c:v>
                </c:pt>
              </c:strCache>
            </c:strRef>
          </c:cat>
          <c:val>
            <c:numRef>
              <c:f>'Ark1'!$D$2:$D$3</c:f>
              <c:numCache>
                <c:formatCode>_-* #,##0_-;\-* #,##0_-;_-* "-"??_-;_-@_-</c:formatCode>
                <c:ptCount val="2"/>
                <c:pt idx="1">
                  <c:v>144000</c:v>
                </c:pt>
              </c:numCache>
            </c:numRef>
          </c:val>
          <c:extLst>
            <c:ext xmlns:c16="http://schemas.microsoft.com/office/drawing/2014/chart" uri="{C3380CC4-5D6E-409C-BE32-E72D297353CC}">
              <c16:uniqueId val="{00000004-FFB1-4DAE-8939-9CB3D505A17D}"/>
            </c:ext>
          </c:extLst>
        </c:ser>
        <c:ser>
          <c:idx val="3"/>
          <c:order val="3"/>
          <c:tx>
            <c:strRef>
              <c:f>'Ark1'!$E$1</c:f>
              <c:strCache>
                <c:ptCount val="1"/>
                <c:pt idx="0">
                  <c:v>50-100 mill. kr</c:v>
                </c:pt>
              </c:strCache>
            </c:strRef>
          </c:tx>
          <c:spPr>
            <a:solidFill>
              <a:schemeClr val="accent4"/>
            </a:solidFill>
            <a:ln w="3175">
              <a:solidFill>
                <a:schemeClr val="tx1"/>
              </a:solidFill>
            </a:ln>
            <a:effectLst/>
          </c:spPr>
          <c:invertIfNegative val="0"/>
          <c:dLbls>
            <c:dLbl>
              <c:idx val="1"/>
              <c:tx>
                <c:rich>
                  <a:bodyPr/>
                  <a:lstStyle/>
                  <a:p>
                    <a:fld id="{8C7C9097-A111-4890-87E8-2C213C47FA49}" type="SERIESNAME">
                      <a:rPr lang="en-US"/>
                      <a:pPr/>
                      <a:t>[SERIENAVN]</a:t>
                    </a:fld>
                    <a:r>
                      <a:rPr lang="en-US" baseline="0"/>
                      <a:t>;  </a:t>
                    </a:r>
                    <a:fld id="{A35F65AD-98C4-439F-992F-8BA7FA0B57C5}" type="VALUE">
                      <a:rPr lang="en-US" baseline="0"/>
                      <a:pPr/>
                      <a:t>[VERDI]</a:t>
                    </a:fld>
                    <a:endParaRPr lang="en-US" baseline="0"/>
                  </a:p>
                </c:rich>
              </c:tx>
              <c:showLegendKey val="0"/>
              <c:showVal val="1"/>
              <c:showCatName val="0"/>
              <c:showSerName val="1"/>
              <c:showPercent val="0"/>
              <c:showBubbleSize val="0"/>
              <c:extLst>
                <c:ext xmlns:c15="http://schemas.microsoft.com/office/drawing/2012/chart" uri="{CE6537A1-D6FC-4f65-9D91-7224C49458BB}">
                  <c15:layout>
                    <c:manualLayout>
                      <c:w val="0.17412037037037034"/>
                      <c:h val="0.11131054131054131"/>
                    </c:manualLayout>
                  </c15:layout>
                  <c15:dlblFieldTable/>
                  <c15:showDataLabelsRange val="0"/>
                </c:ext>
                <c:ext xmlns:c16="http://schemas.microsoft.com/office/drawing/2014/chart" uri="{C3380CC4-5D6E-409C-BE32-E72D297353CC}">
                  <c16:uniqueId val="{00000005-FFB1-4DAE-8939-9CB3D505A17D}"/>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Identifiserte sysselsatte årsverk med eier som ikke er i formueskatteposisjon</c:v>
                </c:pt>
                <c:pt idx="1">
                  <c:v>Identifiserte sysselsatte årsverk med eller i formueskatteposisjon</c:v>
                </c:pt>
              </c:strCache>
            </c:strRef>
          </c:cat>
          <c:val>
            <c:numRef>
              <c:f>'Ark1'!$E$2:$E$3</c:f>
              <c:numCache>
                <c:formatCode>_-* #,##0_-;\-* #,##0_-;_-* "-"??_-;_-@_-</c:formatCode>
                <c:ptCount val="2"/>
                <c:pt idx="1">
                  <c:v>40000</c:v>
                </c:pt>
              </c:numCache>
            </c:numRef>
          </c:val>
          <c:extLst>
            <c:ext xmlns:c16="http://schemas.microsoft.com/office/drawing/2014/chart" uri="{C3380CC4-5D6E-409C-BE32-E72D297353CC}">
              <c16:uniqueId val="{00000006-FFB1-4DAE-8939-9CB3D505A17D}"/>
            </c:ext>
          </c:extLst>
        </c:ser>
        <c:ser>
          <c:idx val="4"/>
          <c:order val="4"/>
          <c:tx>
            <c:strRef>
              <c:f>'Ark1'!$F$1</c:f>
              <c:strCache>
                <c:ptCount val="1"/>
                <c:pt idx="0">
                  <c:v>100+ mill. kr</c:v>
                </c:pt>
              </c:strCache>
            </c:strRef>
          </c:tx>
          <c:spPr>
            <a:solidFill>
              <a:schemeClr val="accent5"/>
            </a:solidFill>
            <a:ln w="3175">
              <a:solidFill>
                <a:schemeClr val="tx1"/>
              </a:solidFill>
            </a:ln>
            <a:effectLst/>
          </c:spPr>
          <c:invertIfNegative val="0"/>
          <c:dLbls>
            <c:dLbl>
              <c:idx val="1"/>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 lastClr="FFFFFF"/>
                        </a:solidFill>
                        <a:latin typeface="Century Gothic" panose="020B0502020202020204" pitchFamily="34" charset="0"/>
                        <a:ea typeface="+mn-ea"/>
                        <a:cs typeface="+mn-cs"/>
                      </a:defRPr>
                    </a:pPr>
                    <a:fld id="{98959297-4DA2-4248-8F36-D904641C462D}" type="SERIESNAME">
                      <a:rPr lang="en-US"/>
                      <a:pPr marL="0" marR="0" lvl="0" indent="0" algn="ctr" defTabSz="914400" rtl="0" eaLnBrk="1" fontAlgn="auto" latinLnBrk="0" hangingPunct="1">
                        <a:lnSpc>
                          <a:spcPct val="100000"/>
                        </a:lnSpc>
                        <a:spcBef>
                          <a:spcPts val="0"/>
                        </a:spcBef>
                        <a:spcAft>
                          <a:spcPts val="0"/>
                        </a:spcAft>
                        <a:buClrTx/>
                        <a:buSzTx/>
                        <a:buFontTx/>
                        <a:buNone/>
                        <a:tabLst/>
                        <a:defRPr sz="800" b="1">
                          <a:solidFill>
                            <a:sysClr val="window" lastClr="FFFFFF"/>
                          </a:solidFill>
                        </a:defRPr>
                      </a:pPr>
                      <a:t>[SERIENAVN]</a:t>
                    </a:fld>
                    <a:r>
                      <a:rPr lang="en-US" baseline="0"/>
                      <a:t>;</a:t>
                    </a:r>
                    <a:r>
                      <a:rPr lang="en-US" sz="1800">
                        <a:effectLst/>
                      </a:rPr>
                      <a:t>    </a:t>
                    </a:r>
                    <a:r>
                      <a:rPr lang="en-US" sz="800">
                        <a:effectLst/>
                      </a:rPr>
                      <a:t>84 000</a:t>
                    </a:r>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 lastClr="FFFFFF"/>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eparator>
</c:separator>
              <c:extLst>
                <c:ext xmlns:c15="http://schemas.microsoft.com/office/drawing/2012/chart" uri="{CE6537A1-D6FC-4f65-9D91-7224C49458BB}">
                  <c15:layout>
                    <c:manualLayout>
                      <c:w val="0.18462962962962962"/>
                      <c:h val="0.13130342371147599"/>
                    </c:manualLayout>
                  </c15:layout>
                  <c15:dlblFieldTable/>
                  <c15:showDataLabelsRange val="0"/>
                </c:ext>
                <c:ext xmlns:c16="http://schemas.microsoft.com/office/drawing/2014/chart" uri="{C3380CC4-5D6E-409C-BE32-E72D297353CC}">
                  <c16:uniqueId val="{00000007-FFB1-4DAE-8939-9CB3D505A17D}"/>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Identifiserte sysselsatte årsverk med eier som ikke er i formueskatteposisjon</c:v>
                </c:pt>
                <c:pt idx="1">
                  <c:v>Identifiserte sysselsatte årsverk med eller i formueskatteposisjon</c:v>
                </c:pt>
              </c:strCache>
            </c:strRef>
          </c:cat>
          <c:val>
            <c:numRef>
              <c:f>'Ark1'!$F$2:$F$3</c:f>
              <c:numCache>
                <c:formatCode>_-* #,##0_-;\-* #,##0_-;_-* "-"??_-;_-@_-</c:formatCode>
                <c:ptCount val="2"/>
                <c:pt idx="1">
                  <c:v>84000</c:v>
                </c:pt>
              </c:numCache>
            </c:numRef>
          </c:val>
          <c:extLst>
            <c:ext xmlns:c16="http://schemas.microsoft.com/office/drawing/2014/chart" uri="{C3380CC4-5D6E-409C-BE32-E72D297353CC}">
              <c16:uniqueId val="{00000008-FFB1-4DAE-8939-9CB3D505A17D}"/>
            </c:ext>
          </c:extLst>
        </c:ser>
        <c:ser>
          <c:idx val="5"/>
          <c:order val="5"/>
          <c:tx>
            <c:strRef>
              <c:f>'Ark1'!$G$1</c:f>
              <c:strCache>
                <c:ptCount val="1"/>
                <c:pt idx="0">
                  <c:v>I alt</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Identifiserte sysselsatte årsverk med eier som ikke er i formueskatteposisjon</c:v>
                </c:pt>
                <c:pt idx="1">
                  <c:v>Identifiserte sysselsatte årsverk med eller i formueskatteposisjon</c:v>
                </c:pt>
              </c:strCache>
            </c:strRef>
          </c:cat>
          <c:val>
            <c:numRef>
              <c:f>'Ark1'!$G$2:$G$3</c:f>
              <c:numCache>
                <c:formatCode>General</c:formatCode>
                <c:ptCount val="2"/>
                <c:pt idx="0" formatCode="#,##0">
                  <c:v>328000</c:v>
                </c:pt>
              </c:numCache>
            </c:numRef>
          </c:val>
          <c:extLst>
            <c:ext xmlns:c16="http://schemas.microsoft.com/office/drawing/2014/chart" uri="{C3380CC4-5D6E-409C-BE32-E72D297353CC}">
              <c16:uniqueId val="{00000009-FFB1-4DAE-8939-9CB3D505A17D}"/>
            </c:ext>
          </c:extLst>
        </c:ser>
        <c:dLbls>
          <c:showLegendKey val="0"/>
          <c:showVal val="0"/>
          <c:showCatName val="0"/>
          <c:showSerName val="0"/>
          <c:showPercent val="0"/>
          <c:showBubbleSize val="0"/>
        </c:dLbls>
        <c:gapWidth val="79"/>
        <c:overlap val="100"/>
        <c:axId val="495472992"/>
        <c:axId val="576877408"/>
      </c:barChart>
      <c:catAx>
        <c:axId val="49547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crossAx val="576877408"/>
        <c:crosses val="autoZero"/>
        <c:auto val="1"/>
        <c:lblAlgn val="ctr"/>
        <c:lblOffset val="100"/>
        <c:noMultiLvlLbl val="0"/>
      </c:catAx>
      <c:valAx>
        <c:axId val="576877408"/>
        <c:scaling>
          <c:orientation val="minMax"/>
        </c:scaling>
        <c:delete val="0"/>
        <c:axPos val="l"/>
        <c:majorGridlines>
          <c:spPr>
            <a:ln w="9525" cap="flat" cmpd="sng" algn="ctr">
              <a:no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495472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'Ark1'!$B$1</c:f>
              <c:strCache>
                <c:ptCount val="1"/>
                <c:pt idx="0">
                  <c:v>Andel som ikke er i formueskatteposisjon</c:v>
                </c:pt>
              </c:strCache>
            </c:strRef>
          </c:tx>
          <c:spPr>
            <a:solidFill>
              <a:schemeClr val="accent1"/>
            </a:solidFill>
            <a:ln w="3175">
              <a:solidFill>
                <a:schemeClr val="accent6">
                  <a:lumMod val="50000"/>
                </a:schemeClr>
              </a:solidFill>
            </a:ln>
            <a:effectLst/>
          </c:spPr>
          <c:invertIfNegative val="0"/>
          <c:dLbls>
            <c:dLbl>
              <c:idx val="0"/>
              <c:tx>
                <c:rich>
                  <a:bodyPr/>
                  <a:lstStyle/>
                  <a:p>
                    <a:fld id="{DB04038C-344C-4333-B26E-22BA5BC219E2}" type="SERIESNAME">
                      <a:rPr lang="en-US"/>
                      <a:pPr/>
                      <a:t>[SERIENAVN]</a:t>
                    </a:fld>
                    <a:r>
                      <a:rPr lang="en-US" baseline="0"/>
                      <a:t>;   </a:t>
                    </a:r>
                    <a:fld id="{9847A4E2-F968-4DAC-9787-381F137EC161}" type="VALUE">
                      <a:rPr lang="en-US" b="1" baseline="0"/>
                      <a:pPr/>
                      <a:t>[VERDI]</a:t>
                    </a:fld>
                    <a:endParaRPr lang="en-US" baseline="0"/>
                  </a:p>
                </c:rich>
              </c:tx>
              <c:showLegendKey val="0"/>
              <c:showVal val="1"/>
              <c:showCatName val="0"/>
              <c:showSerName val="1"/>
              <c:showPercent val="0"/>
              <c:showBubbleSize val="0"/>
              <c:extLst>
                <c:ext xmlns:c15="http://schemas.microsoft.com/office/drawing/2012/chart" uri="{CE6537A1-D6FC-4f65-9D91-7224C49458BB}">
                  <c15:layout>
                    <c:manualLayout>
                      <c:w val="0.2383218503937008"/>
                      <c:h val="0.12992907801418438"/>
                    </c:manualLayout>
                  </c15:layout>
                  <c15:dlblFieldTable/>
                  <c15:showDataLabelsRange val="0"/>
                </c:ext>
                <c:ext xmlns:c16="http://schemas.microsoft.com/office/drawing/2014/chart" uri="{C3380CC4-5D6E-409C-BE32-E72D297353CC}">
                  <c16:uniqueId val="{00000000-8F75-4897-95D8-8C9E071BB7AD}"/>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Andeler</c:v>
                </c:pt>
              </c:strCache>
            </c:strRef>
          </c:cat>
          <c:val>
            <c:numRef>
              <c:f>'Ark1'!$B$2</c:f>
              <c:numCache>
                <c:formatCode>0%</c:formatCode>
                <c:ptCount val="1"/>
                <c:pt idx="0">
                  <c:v>0.42199999999999999</c:v>
                </c:pt>
              </c:numCache>
            </c:numRef>
          </c:val>
          <c:extLst>
            <c:ext xmlns:c16="http://schemas.microsoft.com/office/drawing/2014/chart" uri="{C3380CC4-5D6E-409C-BE32-E72D297353CC}">
              <c16:uniqueId val="{00000001-8F75-4897-95D8-8C9E071BB7AD}"/>
            </c:ext>
          </c:extLst>
        </c:ser>
        <c:ser>
          <c:idx val="1"/>
          <c:order val="1"/>
          <c:tx>
            <c:strRef>
              <c:f>'Ark1'!$C$1</c:f>
              <c:strCache>
                <c:ptCount val="1"/>
                <c:pt idx="0">
                  <c:v>Andel i formueskatteposisjon, etter netto likningsformue 0-1 mill. kr</c:v>
                </c:pt>
              </c:strCache>
            </c:strRef>
          </c:tx>
          <c:spPr>
            <a:solidFill>
              <a:schemeClr val="accent2"/>
            </a:solidFill>
            <a:ln>
              <a:noFill/>
            </a:ln>
            <a:effectLst/>
          </c:spPr>
          <c:invertIfNegative val="0"/>
          <c:cat>
            <c:strRef>
              <c:f>'Ark1'!$A$2</c:f>
              <c:strCache>
                <c:ptCount val="1"/>
                <c:pt idx="0">
                  <c:v>Andeler</c:v>
                </c:pt>
              </c:strCache>
            </c:strRef>
          </c:cat>
          <c:val>
            <c:numRef>
              <c:f>'Ark1'!$C$2</c:f>
              <c:numCache>
                <c:formatCode>0%</c:formatCode>
                <c:ptCount val="1"/>
                <c:pt idx="0">
                  <c:v>0</c:v>
                </c:pt>
              </c:numCache>
            </c:numRef>
          </c:val>
          <c:extLst>
            <c:ext xmlns:c16="http://schemas.microsoft.com/office/drawing/2014/chart" uri="{C3380CC4-5D6E-409C-BE32-E72D297353CC}">
              <c16:uniqueId val="{00000002-8F75-4897-95D8-8C9E071BB7AD}"/>
            </c:ext>
          </c:extLst>
        </c:ser>
        <c:ser>
          <c:idx val="2"/>
          <c:order val="2"/>
          <c:tx>
            <c:strRef>
              <c:f>'Ark1'!$D$1</c:f>
              <c:strCache>
                <c:ptCount val="1"/>
                <c:pt idx="0">
                  <c:v>Andel i formueskatteposisjon, etter netto likningsformue 1-10 mill. kr</c:v>
                </c:pt>
              </c:strCache>
            </c:strRef>
          </c:tx>
          <c:spPr>
            <a:solidFill>
              <a:schemeClr val="accent3"/>
            </a:solidFill>
            <a:ln w="3175">
              <a:solidFill>
                <a:schemeClr val="accent6">
                  <a:lumMod val="50000"/>
                </a:schemeClr>
              </a:solidFill>
            </a:ln>
            <a:effectLst/>
          </c:spPr>
          <c:invertIfNegative val="0"/>
          <c:dLbls>
            <c:dLbl>
              <c:idx val="0"/>
              <c:layout>
                <c:manualLayout>
                  <c:x val="8.1018518518518566E-3"/>
                  <c:y val="-8.1053698074974728E-3"/>
                </c:manualLayout>
              </c:layout>
              <c:tx>
                <c:rich>
                  <a:bodyPr/>
                  <a:lstStyle/>
                  <a:p>
                    <a:fld id="{338ADFCD-9A70-432C-A4EF-C08E3B6EF660}" type="SERIESNAME">
                      <a:rPr lang="en-US"/>
                      <a:pPr/>
                      <a:t>[SERIENAVN]</a:t>
                    </a:fld>
                    <a:r>
                      <a:rPr lang="en-US" baseline="0"/>
                      <a:t>; </a:t>
                    </a:r>
                    <a:fld id="{937B5361-6D9D-4509-9469-8EDBA256C1CF}" type="VALUE">
                      <a:rPr lang="en-US" b="1" baseline="0"/>
                      <a:pPr/>
                      <a:t>[VERDI]</a:t>
                    </a:fld>
                    <a:endParaRPr lang="en-US" baseline="0"/>
                  </a:p>
                </c:rich>
              </c:tx>
              <c:showLegendKey val="0"/>
              <c:showVal val="1"/>
              <c:showCatName val="0"/>
              <c:showSerName val="1"/>
              <c:showPercent val="0"/>
              <c:showBubbleSize val="0"/>
              <c:extLst>
                <c:ext xmlns:c15="http://schemas.microsoft.com/office/drawing/2012/chart" uri="{CE6537A1-D6FC-4f65-9D91-7224C49458BB}">
                  <c15:layout>
                    <c:manualLayout>
                      <c:w val="0.29619222076407115"/>
                      <c:h val="0.14822695035460992"/>
                    </c:manualLayout>
                  </c15:layout>
                  <c15:dlblFieldTable/>
                  <c15:showDataLabelsRange val="0"/>
                </c:ext>
                <c:ext xmlns:c16="http://schemas.microsoft.com/office/drawing/2014/chart" uri="{C3380CC4-5D6E-409C-BE32-E72D297353CC}">
                  <c16:uniqueId val="{00000003-8F75-4897-95D8-8C9E071BB7AD}"/>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Andeler</c:v>
                </c:pt>
              </c:strCache>
            </c:strRef>
          </c:cat>
          <c:val>
            <c:numRef>
              <c:f>'Ark1'!$D$2</c:f>
              <c:numCache>
                <c:formatCode>0%</c:formatCode>
                <c:ptCount val="1"/>
                <c:pt idx="0">
                  <c:v>0.23300000000000001</c:v>
                </c:pt>
              </c:numCache>
            </c:numRef>
          </c:val>
          <c:extLst>
            <c:ext xmlns:c16="http://schemas.microsoft.com/office/drawing/2014/chart" uri="{C3380CC4-5D6E-409C-BE32-E72D297353CC}">
              <c16:uniqueId val="{00000004-8F75-4897-95D8-8C9E071BB7AD}"/>
            </c:ext>
          </c:extLst>
        </c:ser>
        <c:ser>
          <c:idx val="3"/>
          <c:order val="3"/>
          <c:tx>
            <c:strRef>
              <c:f>'Ark1'!$E$1</c:f>
              <c:strCache>
                <c:ptCount val="1"/>
                <c:pt idx="0">
                  <c:v>Andel i formueskatteposisjon, etter netto likningsformue 10-50 mill. kr</c:v>
                </c:pt>
              </c:strCache>
            </c:strRef>
          </c:tx>
          <c:spPr>
            <a:solidFill>
              <a:schemeClr val="accent4"/>
            </a:solidFill>
            <a:ln w="3175">
              <a:solidFill>
                <a:schemeClr val="accent6">
                  <a:lumMod val="50000"/>
                </a:schemeClr>
              </a:solidFill>
            </a:ln>
            <a:effectLst/>
          </c:spPr>
          <c:invertIfNegative val="0"/>
          <c:dLbls>
            <c:dLbl>
              <c:idx val="0"/>
              <c:tx>
                <c:rich>
                  <a:bodyPr/>
                  <a:lstStyle/>
                  <a:p>
                    <a:fld id="{F71CC714-5694-41CF-95DD-706505AC1D3B}" type="SERIESNAME">
                      <a:rPr lang="en-US">
                        <a:solidFill>
                          <a:schemeClr val="bg1"/>
                        </a:solidFill>
                      </a:rPr>
                      <a:pPr/>
                      <a:t>[SERIENAVN]</a:t>
                    </a:fld>
                    <a:r>
                      <a:rPr lang="en-US" baseline="0">
                        <a:solidFill>
                          <a:schemeClr val="bg1"/>
                        </a:solidFill>
                      </a:rPr>
                      <a:t>; </a:t>
                    </a:r>
                    <a:fld id="{D1100F5A-FE57-45FF-9C94-C33F9822AB08}" type="VALUE">
                      <a:rPr lang="en-US" b="1" baseline="0">
                        <a:solidFill>
                          <a:schemeClr val="bg1"/>
                        </a:solidFill>
                      </a:rPr>
                      <a:pPr/>
                      <a:t>[VERDI]</a:t>
                    </a:fld>
                    <a:endParaRPr lang="en-US" baseline="0">
                      <a:solidFill>
                        <a:schemeClr val="bg1"/>
                      </a:solidFill>
                    </a:endParaRPr>
                  </a:p>
                </c:rich>
              </c:tx>
              <c:showLegendKey val="0"/>
              <c:showVal val="1"/>
              <c:showCatName val="0"/>
              <c:showSerName val="1"/>
              <c:showPercent val="0"/>
              <c:showBubbleSize val="0"/>
              <c:extLst>
                <c:ext xmlns:c15="http://schemas.microsoft.com/office/drawing/2012/chart" uri="{CE6537A1-D6FC-4f65-9D91-7224C49458BB}">
                  <c15:layout>
                    <c:manualLayout>
                      <c:w val="0.27998851706036748"/>
                      <c:h val="0.14417426545086118"/>
                    </c:manualLayout>
                  </c15:layout>
                  <c15:dlblFieldTable/>
                  <c15:showDataLabelsRange val="0"/>
                </c:ext>
                <c:ext xmlns:c16="http://schemas.microsoft.com/office/drawing/2014/chart" uri="{C3380CC4-5D6E-409C-BE32-E72D297353CC}">
                  <c16:uniqueId val="{00000005-8F75-4897-95D8-8C9E071BB7AD}"/>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Andeler</c:v>
                </c:pt>
              </c:strCache>
            </c:strRef>
          </c:cat>
          <c:val>
            <c:numRef>
              <c:f>'Ark1'!$E$2</c:f>
              <c:numCache>
                <c:formatCode>0%</c:formatCode>
                <c:ptCount val="1"/>
                <c:pt idx="0">
                  <c:v>0.185</c:v>
                </c:pt>
              </c:numCache>
            </c:numRef>
          </c:val>
          <c:extLst>
            <c:ext xmlns:c16="http://schemas.microsoft.com/office/drawing/2014/chart" uri="{C3380CC4-5D6E-409C-BE32-E72D297353CC}">
              <c16:uniqueId val="{00000006-8F75-4897-95D8-8C9E071BB7AD}"/>
            </c:ext>
          </c:extLst>
        </c:ser>
        <c:ser>
          <c:idx val="4"/>
          <c:order val="4"/>
          <c:tx>
            <c:strRef>
              <c:f>'Ark1'!$F$1</c:f>
              <c:strCache>
                <c:ptCount val="1"/>
                <c:pt idx="0">
                  <c:v>Andel i formueskatteposisjon, etter netto likningsformue 50-100 mill. kr</c:v>
                </c:pt>
              </c:strCache>
            </c:strRef>
          </c:tx>
          <c:spPr>
            <a:solidFill>
              <a:schemeClr val="accent5"/>
            </a:solidFill>
            <a:ln w="3175">
              <a:solidFill>
                <a:schemeClr val="accent6">
                  <a:lumMod val="50000"/>
                </a:schemeClr>
              </a:solidFill>
            </a:ln>
            <a:effectLst/>
          </c:spPr>
          <c:invertIfNegative val="0"/>
          <c:dLbls>
            <c:dLbl>
              <c:idx val="0"/>
              <c:layout>
                <c:manualLayout>
                  <c:x val="0.3273504403988734"/>
                  <c:y val="-2.0207450030284677E-3"/>
                </c:manualLayout>
              </c:layout>
              <c:tx>
                <c:rich>
                  <a:bodyPr/>
                  <a:lstStyle/>
                  <a:p>
                    <a:fld id="{B06E817D-43D3-4800-969C-094D1F0C465D}" type="SERIESNAME">
                      <a:rPr lang="en-US"/>
                      <a:pPr/>
                      <a:t>[SERIENAVN]</a:t>
                    </a:fld>
                    <a:r>
                      <a:rPr lang="en-US" baseline="0"/>
                      <a:t>; </a:t>
                    </a:r>
                    <a:fld id="{38EC82E4-B54A-47C3-89C8-BB30D5E8A307}" type="VALUE">
                      <a:rPr lang="en-US" b="1" baseline="0"/>
                      <a:pPr/>
                      <a:t>[VERDI]</a:t>
                    </a:fld>
                    <a:endParaRPr lang="en-US" baseline="0"/>
                  </a:p>
                </c:rich>
              </c:tx>
              <c:showLegendKey val="0"/>
              <c:showVal val="1"/>
              <c:showCatName val="0"/>
              <c:showSerName val="1"/>
              <c:showPercent val="0"/>
              <c:showBubbleSize val="0"/>
              <c:extLst>
                <c:ext xmlns:c15="http://schemas.microsoft.com/office/drawing/2012/chart" uri="{CE6537A1-D6FC-4f65-9D91-7224C49458BB}">
                  <c15:layout>
                    <c:manualLayout>
                      <c:w val="0.2612809857101196"/>
                      <c:h val="0.16849037487335361"/>
                    </c:manualLayout>
                  </c15:layout>
                  <c15:dlblFieldTable/>
                  <c15:showDataLabelsRange val="0"/>
                </c:ext>
                <c:ext xmlns:c16="http://schemas.microsoft.com/office/drawing/2014/chart" uri="{C3380CC4-5D6E-409C-BE32-E72D297353CC}">
                  <c16:uniqueId val="{00000007-8F75-4897-95D8-8C9E071BB7AD}"/>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Andeler</c:v>
                </c:pt>
              </c:strCache>
            </c:strRef>
          </c:cat>
          <c:val>
            <c:numRef>
              <c:f>'Ark1'!$F$2</c:f>
              <c:numCache>
                <c:formatCode>0%</c:formatCode>
                <c:ptCount val="1"/>
                <c:pt idx="0">
                  <c:v>5.1999999999999998E-2</c:v>
                </c:pt>
              </c:numCache>
            </c:numRef>
          </c:val>
          <c:extLst>
            <c:ext xmlns:c16="http://schemas.microsoft.com/office/drawing/2014/chart" uri="{C3380CC4-5D6E-409C-BE32-E72D297353CC}">
              <c16:uniqueId val="{00000008-8F75-4897-95D8-8C9E071BB7AD}"/>
            </c:ext>
          </c:extLst>
        </c:ser>
        <c:ser>
          <c:idx val="5"/>
          <c:order val="5"/>
          <c:tx>
            <c:strRef>
              <c:f>'Ark1'!$G$1</c:f>
              <c:strCache>
                <c:ptCount val="1"/>
                <c:pt idx="0">
                  <c:v>Andel i formueskatteposisjon, etter netto likningsformue 100+ mill. kr</c:v>
                </c:pt>
              </c:strCache>
            </c:strRef>
          </c:tx>
          <c:spPr>
            <a:solidFill>
              <a:schemeClr val="accent6"/>
            </a:solidFill>
            <a:ln w="3175">
              <a:solidFill>
                <a:schemeClr val="accent6">
                  <a:lumMod val="50000"/>
                </a:schemeClr>
              </a:solidFill>
            </a:ln>
            <a:effectLst/>
          </c:spPr>
          <c:invertIfNegative val="0"/>
          <c:dLbls>
            <c:dLbl>
              <c:idx val="0"/>
              <c:layout>
                <c:manualLayout>
                  <c:x val="-1.1066548364848973E-3"/>
                  <c:y val="-1.0892388451443611E-3"/>
                </c:manualLayout>
              </c:layout>
              <c:tx>
                <c:rich>
                  <a:bodyPr/>
                  <a:lstStyle/>
                  <a:p>
                    <a:fld id="{636D88AD-8BF5-4015-A73B-FB42D5BA47AD}" type="SERIESNAME">
                      <a:rPr lang="en-US"/>
                      <a:pPr/>
                      <a:t>[SERIENAVN]</a:t>
                    </a:fld>
                    <a:r>
                      <a:rPr lang="en-US" baseline="0"/>
                      <a:t>; </a:t>
                    </a:r>
                    <a:fld id="{77711798-16EA-4891-A574-0752DC9E4AAE}" type="VALUE">
                      <a:rPr lang="en-US" b="1" baseline="0"/>
                      <a:pPr/>
                      <a:t>[VERDI]</a:t>
                    </a:fld>
                    <a:endParaRPr lang="en-US" baseline="0"/>
                  </a:p>
                </c:rich>
              </c:tx>
              <c:showLegendKey val="0"/>
              <c:showVal val="1"/>
              <c:showCatName val="0"/>
              <c:showSerName val="1"/>
              <c:showPercent val="0"/>
              <c:showBubbleSize val="0"/>
              <c:extLst>
                <c:ext xmlns:c15="http://schemas.microsoft.com/office/drawing/2012/chart" uri="{CE6537A1-D6FC-4f65-9D91-7224C49458BB}">
                  <c15:layout>
                    <c:manualLayout>
                      <c:w val="0.31678903959997695"/>
                      <c:h val="0.1219452646544182"/>
                    </c:manualLayout>
                  </c15:layout>
                  <c15:dlblFieldTable/>
                  <c15:showDataLabelsRange val="0"/>
                </c:ext>
                <c:ext xmlns:c16="http://schemas.microsoft.com/office/drawing/2014/chart" uri="{C3380CC4-5D6E-409C-BE32-E72D297353CC}">
                  <c16:uniqueId val="{00000009-8F75-4897-95D8-8C9E071BB7AD}"/>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Andeler</c:v>
                </c:pt>
              </c:strCache>
            </c:strRef>
          </c:cat>
          <c:val>
            <c:numRef>
              <c:f>'Ark1'!$G$2</c:f>
              <c:numCache>
                <c:formatCode>0%</c:formatCode>
                <c:ptCount val="1"/>
                <c:pt idx="0">
                  <c:v>0.108</c:v>
                </c:pt>
              </c:numCache>
            </c:numRef>
          </c:val>
          <c:extLst>
            <c:ext xmlns:c16="http://schemas.microsoft.com/office/drawing/2014/chart" uri="{C3380CC4-5D6E-409C-BE32-E72D297353CC}">
              <c16:uniqueId val="{0000000A-8F75-4897-95D8-8C9E071BB7AD}"/>
            </c:ext>
          </c:extLst>
        </c:ser>
        <c:dLbls>
          <c:showLegendKey val="0"/>
          <c:showVal val="0"/>
          <c:showCatName val="0"/>
          <c:showSerName val="0"/>
          <c:showPercent val="0"/>
          <c:showBubbleSize val="0"/>
        </c:dLbls>
        <c:gapWidth val="150"/>
        <c:overlap val="100"/>
        <c:axId val="586345872"/>
        <c:axId val="477427232"/>
      </c:barChart>
      <c:catAx>
        <c:axId val="586345872"/>
        <c:scaling>
          <c:orientation val="minMax"/>
        </c:scaling>
        <c:delete val="1"/>
        <c:axPos val="b"/>
        <c:numFmt formatCode="General" sourceLinked="1"/>
        <c:majorTickMark val="none"/>
        <c:minorTickMark val="none"/>
        <c:tickLblPos val="nextTo"/>
        <c:crossAx val="477427232"/>
        <c:crosses val="autoZero"/>
        <c:auto val="1"/>
        <c:lblAlgn val="ctr"/>
        <c:lblOffset val="100"/>
        <c:noMultiLvlLbl val="0"/>
      </c:catAx>
      <c:valAx>
        <c:axId val="477427232"/>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586345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'Ark1'!$B$1</c:f>
              <c:strCache>
                <c:ptCount val="1"/>
                <c:pt idx="0">
                  <c:v>Offentlig sektor</c:v>
                </c:pt>
              </c:strCache>
            </c:strRef>
          </c:tx>
          <c:spPr>
            <a:solidFill>
              <a:schemeClr val="accent1"/>
            </a:solidFill>
            <a:ln w="3175">
              <a:solidFill>
                <a:schemeClr val="accent6">
                  <a:lumMod val="50000"/>
                </a:schemeClr>
              </a:solidFill>
            </a:ln>
            <a:effectLst/>
          </c:spPr>
          <c:invertIfNegative val="0"/>
          <c:dLbls>
            <c:dLbl>
              <c:idx val="0"/>
              <c:layout>
                <c:manualLayout>
                  <c:x val="-1.0882440836665159E-2"/>
                  <c:y val="-1.9172491079064557E-2"/>
                </c:manualLayout>
              </c:layout>
              <c:tx>
                <c:rich>
                  <a:bodyPr/>
                  <a:lstStyle/>
                  <a:p>
                    <a:fld id="{C4159EED-5ABC-4F63-A6D3-BB22C772E483}" type="SERIESNAME">
                      <a:rPr lang="en-US"/>
                      <a:pPr/>
                      <a:t>[SERIENAVN]</a:t>
                    </a:fld>
                    <a:r>
                      <a:rPr lang="en-US" baseline="0"/>
                      <a:t>;  </a:t>
                    </a:r>
                    <a:fld id="{29489A0F-5570-4B22-845F-6B9ABF1EDA30}" type="VALUE">
                      <a:rPr lang="en-US" baseline="0"/>
                      <a:pPr/>
                      <a:t>[VERDI]</a:t>
                    </a:fld>
                    <a:endParaRPr lang="en-US"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E34-45E7-B062-E0E5B4F7BE7F}"/>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Antall sysselsatte</c:v>
                </c:pt>
              </c:strCache>
            </c:strRef>
          </c:cat>
          <c:val>
            <c:numRef>
              <c:f>'Ark1'!$B$2</c:f>
              <c:numCache>
                <c:formatCode>_-* #,##0_-;\-* #,##0_-;_-* "-"??_-;_-@_-</c:formatCode>
                <c:ptCount val="1"/>
                <c:pt idx="0">
                  <c:v>814000</c:v>
                </c:pt>
              </c:numCache>
            </c:numRef>
          </c:val>
          <c:extLst>
            <c:ext xmlns:c16="http://schemas.microsoft.com/office/drawing/2014/chart" uri="{C3380CC4-5D6E-409C-BE32-E72D297353CC}">
              <c16:uniqueId val="{00000001-6E34-45E7-B062-E0E5B4F7BE7F}"/>
            </c:ext>
          </c:extLst>
        </c:ser>
        <c:ser>
          <c:idx val="1"/>
          <c:order val="1"/>
          <c:tx>
            <c:strRef>
              <c:f>'Ark1'!$C$1</c:f>
              <c:strCache>
                <c:ptCount val="1"/>
                <c:pt idx="0">
                  <c:v>Ikke-identifiserte private eller offentlige foretak</c:v>
                </c:pt>
              </c:strCache>
            </c:strRef>
          </c:tx>
          <c:spPr>
            <a:solidFill>
              <a:schemeClr val="accent2"/>
            </a:solidFill>
            <a:ln w="3175">
              <a:solidFill>
                <a:schemeClr val="accent6">
                  <a:lumMod val="50000"/>
                </a:schemeClr>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Antall sysselsatte</c:v>
                </c:pt>
              </c:strCache>
            </c:strRef>
          </c:cat>
          <c:val>
            <c:numRef>
              <c:f>'Ark1'!$C$2</c:f>
              <c:numCache>
                <c:formatCode>_-* #,##0_-;\-* #,##0_-;_-* "-"??_-;_-@_-</c:formatCode>
                <c:ptCount val="1"/>
                <c:pt idx="0">
                  <c:v>996000</c:v>
                </c:pt>
              </c:numCache>
            </c:numRef>
          </c:val>
          <c:extLst>
            <c:ext xmlns:c16="http://schemas.microsoft.com/office/drawing/2014/chart" uri="{C3380CC4-5D6E-409C-BE32-E72D297353CC}">
              <c16:uniqueId val="{00000002-6E34-45E7-B062-E0E5B4F7BE7F}"/>
            </c:ext>
          </c:extLst>
        </c:ser>
        <c:ser>
          <c:idx val="2"/>
          <c:order val="2"/>
          <c:tx>
            <c:strRef>
              <c:f>'Ark1'!$D$1</c:f>
              <c:strCache>
                <c:ptCount val="1"/>
                <c:pt idx="0">
                  <c:v>Private i formueskatteposisjon</c:v>
                </c:pt>
              </c:strCache>
            </c:strRef>
          </c:tx>
          <c:spPr>
            <a:solidFill>
              <a:schemeClr val="accent3"/>
            </a:solidFill>
            <a:ln w="3175">
              <a:solidFill>
                <a:schemeClr val="accent6">
                  <a:lumMod val="50000"/>
                </a:schemeClr>
              </a:solidFill>
            </a:ln>
            <a:effectLst/>
          </c:spPr>
          <c:invertIfNegative val="0"/>
          <c:dLbls>
            <c:dLbl>
              <c:idx val="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extLst>
                <c:ext xmlns:c15="http://schemas.microsoft.com/office/drawing/2012/chart" uri="{CE6537A1-D6FC-4f65-9D91-7224C49458BB}">
                  <c15:layout>
                    <c:manualLayout>
                      <c:w val="0.27264662965086733"/>
                      <c:h val="0.13840840840840837"/>
                    </c:manualLayout>
                  </c15:layout>
                </c:ext>
                <c:ext xmlns:c16="http://schemas.microsoft.com/office/drawing/2014/chart" uri="{C3380CC4-5D6E-409C-BE32-E72D297353CC}">
                  <c16:uniqueId val="{00000003-6E34-45E7-B062-E0E5B4F7BE7F}"/>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Antall sysselsatte</c:v>
                </c:pt>
              </c:strCache>
            </c:strRef>
          </c:cat>
          <c:val>
            <c:numRef>
              <c:f>'Ark1'!$D$2</c:f>
              <c:numCache>
                <c:formatCode>_-* #,##0_-;\-* #,##0_-;_-* "-"??_-;_-@_-</c:formatCode>
                <c:ptCount val="1"/>
                <c:pt idx="0">
                  <c:v>450000</c:v>
                </c:pt>
              </c:numCache>
            </c:numRef>
          </c:val>
          <c:extLst>
            <c:ext xmlns:c16="http://schemas.microsoft.com/office/drawing/2014/chart" uri="{C3380CC4-5D6E-409C-BE32-E72D297353CC}">
              <c16:uniqueId val="{00000004-6E34-45E7-B062-E0E5B4F7BE7F}"/>
            </c:ext>
          </c:extLst>
        </c:ser>
        <c:ser>
          <c:idx val="3"/>
          <c:order val="3"/>
          <c:tx>
            <c:strRef>
              <c:f>'Ark1'!$E$1</c:f>
              <c:strCache>
                <c:ptCount val="1"/>
                <c:pt idx="0">
                  <c:v>Private som ikke er i formueskatteposisjon</c:v>
                </c:pt>
              </c:strCache>
            </c:strRef>
          </c:tx>
          <c:spPr>
            <a:solidFill>
              <a:schemeClr val="accent4"/>
            </a:solidFill>
            <a:ln w="3175">
              <a:solidFill>
                <a:schemeClr val="accent6">
                  <a:lumMod val="50000"/>
                </a:schemeClr>
              </a:solidFill>
            </a:ln>
            <a:effectLst/>
          </c:spPr>
          <c:invertIfNegative val="0"/>
          <c:dLbls>
            <c:dLbl>
              <c:idx val="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extLst>
                <c:ext xmlns:c15="http://schemas.microsoft.com/office/drawing/2012/chart" uri="{CE6537A1-D6FC-4f65-9D91-7224C49458BB}">
                  <c15:layout>
                    <c:manualLayout>
                      <c:w val="0.26317356866803726"/>
                      <c:h val="0.14150150150150151"/>
                    </c:manualLayout>
                  </c15:layout>
                </c:ext>
                <c:ext xmlns:c16="http://schemas.microsoft.com/office/drawing/2014/chart" uri="{C3380CC4-5D6E-409C-BE32-E72D297353CC}">
                  <c16:uniqueId val="{00000005-6E34-45E7-B062-E0E5B4F7BE7F}"/>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Antall sysselsatte</c:v>
                </c:pt>
              </c:strCache>
            </c:strRef>
          </c:cat>
          <c:val>
            <c:numRef>
              <c:f>'Ark1'!$E$2</c:f>
              <c:numCache>
                <c:formatCode>_-* #,##0_-;\-* #,##0_-;_-* "-"??_-;_-@_-</c:formatCode>
                <c:ptCount val="1"/>
                <c:pt idx="0">
                  <c:v>328000</c:v>
                </c:pt>
              </c:numCache>
            </c:numRef>
          </c:val>
          <c:extLst>
            <c:ext xmlns:c16="http://schemas.microsoft.com/office/drawing/2014/chart" uri="{C3380CC4-5D6E-409C-BE32-E72D297353CC}">
              <c16:uniqueId val="{00000006-6E34-45E7-B062-E0E5B4F7BE7F}"/>
            </c:ext>
          </c:extLst>
        </c:ser>
        <c:dLbls>
          <c:showLegendKey val="0"/>
          <c:showVal val="0"/>
          <c:showCatName val="0"/>
          <c:showSerName val="0"/>
          <c:showPercent val="0"/>
          <c:showBubbleSize val="0"/>
        </c:dLbls>
        <c:gapWidth val="150"/>
        <c:overlap val="100"/>
        <c:axId val="495419792"/>
        <c:axId val="518621040"/>
      </c:barChart>
      <c:catAx>
        <c:axId val="495419792"/>
        <c:scaling>
          <c:orientation val="minMax"/>
        </c:scaling>
        <c:delete val="1"/>
        <c:axPos val="b"/>
        <c:numFmt formatCode="General" sourceLinked="1"/>
        <c:majorTickMark val="none"/>
        <c:minorTickMark val="none"/>
        <c:tickLblPos val="nextTo"/>
        <c:crossAx val="518621040"/>
        <c:crosses val="autoZero"/>
        <c:auto val="1"/>
        <c:lblAlgn val="ctr"/>
        <c:lblOffset val="100"/>
        <c:noMultiLvlLbl val="0"/>
      </c:catAx>
      <c:valAx>
        <c:axId val="518621040"/>
        <c:scaling>
          <c:orientation val="minMax"/>
          <c:max val="2600000"/>
          <c:min val="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495419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81561679790026"/>
          <c:y val="1.7777777777777778E-2"/>
          <c:w val="0.85072142023913677"/>
          <c:h val="0.79986222911727101"/>
        </c:manualLayout>
      </c:layout>
      <c:barChart>
        <c:barDir val="col"/>
        <c:grouping val="stacked"/>
        <c:varyColors val="0"/>
        <c:ser>
          <c:idx val="0"/>
          <c:order val="0"/>
          <c:tx>
            <c:strRef>
              <c:f>'Ark1'!$B$1</c:f>
              <c:strCache>
                <c:ptCount val="1"/>
                <c:pt idx="0">
                  <c:v>Utenlandsk emisjonskapital</c:v>
                </c:pt>
              </c:strCache>
            </c:strRef>
          </c:tx>
          <c:spPr>
            <a:solidFill>
              <a:srgbClr val="0070C0"/>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2012</c:v>
                </c:pt>
                <c:pt idx="1">
                  <c:v>2013</c:v>
                </c:pt>
                <c:pt idx="2">
                  <c:v>2014</c:v>
                </c:pt>
                <c:pt idx="3">
                  <c:v>2015</c:v>
                </c:pt>
              </c:numCache>
            </c:numRef>
          </c:cat>
          <c:val>
            <c:numRef>
              <c:f>'Ark1'!$B$2:$B$5</c:f>
              <c:numCache>
                <c:formatCode>#,##0.0</c:formatCode>
                <c:ptCount val="4"/>
                <c:pt idx="0">
                  <c:v>13728087248.9</c:v>
                </c:pt>
                <c:pt idx="1">
                  <c:v>18263576387.5</c:v>
                </c:pt>
                <c:pt idx="2">
                  <c:v>21771150552.799999</c:v>
                </c:pt>
                <c:pt idx="3">
                  <c:v>23439123250.700001</c:v>
                </c:pt>
              </c:numCache>
            </c:numRef>
          </c:val>
          <c:extLst>
            <c:ext xmlns:c16="http://schemas.microsoft.com/office/drawing/2014/chart" uri="{C3380CC4-5D6E-409C-BE32-E72D297353CC}">
              <c16:uniqueId val="{00000000-4C43-40CB-B33A-D09206779FC2}"/>
            </c:ext>
          </c:extLst>
        </c:ser>
        <c:ser>
          <c:idx val="1"/>
          <c:order val="1"/>
          <c:tx>
            <c:strRef>
              <c:f>'Ark1'!$C$1</c:f>
              <c:strCache>
                <c:ptCount val="1"/>
                <c:pt idx="0">
                  <c:v>Statlig emisjonskapital</c:v>
                </c:pt>
              </c:strCache>
            </c:strRef>
          </c:tx>
          <c:spPr>
            <a:solidFill>
              <a:srgbClr val="00B0F0"/>
            </a:solidFill>
            <a:ln w="3175">
              <a:solidFill>
                <a:schemeClr val="tx1"/>
              </a:solidFill>
            </a:ln>
            <a:effectLst/>
          </c:spPr>
          <c:invertIfNegative val="0"/>
          <c:dLbls>
            <c:dLbl>
              <c:idx val="0"/>
              <c:layout>
                <c:manualLayout>
                  <c:x val="0"/>
                  <c:y val="-1.328487068662955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43-40CB-B33A-D09206779FC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2012</c:v>
                </c:pt>
                <c:pt idx="1">
                  <c:v>2013</c:v>
                </c:pt>
                <c:pt idx="2">
                  <c:v>2014</c:v>
                </c:pt>
                <c:pt idx="3">
                  <c:v>2015</c:v>
                </c:pt>
              </c:numCache>
            </c:numRef>
          </c:cat>
          <c:val>
            <c:numRef>
              <c:f>'Ark1'!$C$2:$C$5</c:f>
              <c:numCache>
                <c:formatCode>#,##0.0</c:formatCode>
                <c:ptCount val="4"/>
                <c:pt idx="0">
                  <c:v>1746802228.5</c:v>
                </c:pt>
                <c:pt idx="1">
                  <c:v>2880789534.9000001</c:v>
                </c:pt>
                <c:pt idx="2">
                  <c:v>2239986201.3000002</c:v>
                </c:pt>
                <c:pt idx="3">
                  <c:v>4275543950.1999998</c:v>
                </c:pt>
              </c:numCache>
            </c:numRef>
          </c:val>
          <c:extLst>
            <c:ext xmlns:c16="http://schemas.microsoft.com/office/drawing/2014/chart" uri="{C3380CC4-5D6E-409C-BE32-E72D297353CC}">
              <c16:uniqueId val="{00000002-4C43-40CB-B33A-D09206779FC2}"/>
            </c:ext>
          </c:extLst>
        </c:ser>
        <c:ser>
          <c:idx val="2"/>
          <c:order val="2"/>
          <c:tx>
            <c:strRef>
              <c:f>'Ark1'!$D$1</c:f>
              <c:strCache>
                <c:ptCount val="1"/>
                <c:pt idx="0">
                  <c:v>Norsk privat emisjonskapital</c:v>
                </c:pt>
              </c:strCache>
            </c:strRef>
          </c:tx>
          <c:spPr>
            <a:solidFill>
              <a:srgbClr val="00B050"/>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2012</c:v>
                </c:pt>
                <c:pt idx="1">
                  <c:v>2013</c:v>
                </c:pt>
                <c:pt idx="2">
                  <c:v>2014</c:v>
                </c:pt>
                <c:pt idx="3">
                  <c:v>2015</c:v>
                </c:pt>
              </c:numCache>
            </c:numRef>
          </c:cat>
          <c:val>
            <c:numRef>
              <c:f>'Ark1'!$D$2:$D$5</c:f>
              <c:numCache>
                <c:formatCode>#,##0.0</c:formatCode>
                <c:ptCount val="4"/>
                <c:pt idx="0">
                  <c:v>26005298698.599998</c:v>
                </c:pt>
                <c:pt idx="1">
                  <c:v>29743768053.599998</c:v>
                </c:pt>
                <c:pt idx="2">
                  <c:v>35583354949.900002</c:v>
                </c:pt>
                <c:pt idx="3">
                  <c:v>37188737967</c:v>
                </c:pt>
              </c:numCache>
            </c:numRef>
          </c:val>
          <c:extLst>
            <c:ext xmlns:c16="http://schemas.microsoft.com/office/drawing/2014/chart" uri="{C3380CC4-5D6E-409C-BE32-E72D297353CC}">
              <c16:uniqueId val="{00000003-4C43-40CB-B33A-D09206779FC2}"/>
            </c:ext>
          </c:extLst>
        </c:ser>
        <c:dLbls>
          <c:showLegendKey val="0"/>
          <c:showVal val="0"/>
          <c:showCatName val="0"/>
          <c:showSerName val="0"/>
          <c:showPercent val="0"/>
          <c:showBubbleSize val="0"/>
        </c:dLbls>
        <c:gapWidth val="100"/>
        <c:overlap val="100"/>
        <c:axId val="329181312"/>
        <c:axId val="587408384"/>
      </c:barChart>
      <c:catAx>
        <c:axId val="32918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crossAx val="587408384"/>
        <c:crosses val="autoZero"/>
        <c:auto val="1"/>
        <c:lblAlgn val="ctr"/>
        <c:lblOffset val="100"/>
        <c:noMultiLvlLbl val="0"/>
      </c:catAx>
      <c:valAx>
        <c:axId val="5874083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329181312"/>
        <c:crosses val="autoZero"/>
        <c:crossBetween val="between"/>
        <c:dispUnits>
          <c:builtInUnit val="billions"/>
          <c:dispUnitsLbl>
            <c:layout>
              <c:manualLayout>
                <c:xMode val="edge"/>
                <c:yMode val="edge"/>
                <c:x val="1.1574074074074073E-2"/>
                <c:y val="0.32149827513018731"/>
              </c:manualLayout>
            </c:layout>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endParaRPr lang="nb-NO"/>
              </a:p>
            </c:txPr>
          </c:dispUnitsLbl>
        </c:dispUnits>
      </c:valAx>
      <c:spPr>
        <a:noFill/>
        <a:ln>
          <a:noFill/>
        </a:ln>
        <a:effectLst/>
      </c:spPr>
    </c:plotArea>
    <c:legend>
      <c:legendPos val="b"/>
      <c:layout>
        <c:manualLayout>
          <c:xMode val="edge"/>
          <c:yMode val="edge"/>
          <c:x val="5.000000000000001E-2"/>
          <c:y val="0.91765711442203557"/>
          <c:w val="0.9"/>
          <c:h val="8.234288557796445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844311269964968E-2"/>
          <c:y val="3.7788734352131224E-2"/>
          <c:w val="0.87870522157426567"/>
          <c:h val="0.72395703114430288"/>
        </c:manualLayout>
      </c:layout>
      <c:barChart>
        <c:barDir val="col"/>
        <c:grouping val="percentStacked"/>
        <c:varyColors val="0"/>
        <c:ser>
          <c:idx val="0"/>
          <c:order val="0"/>
          <c:tx>
            <c:strRef>
              <c:f>'Ark1'!$B$1</c:f>
              <c:strCache>
                <c:ptCount val="1"/>
                <c:pt idx="0">
                  <c:v>Andel utenlandsk emisjonskapital</c:v>
                </c:pt>
              </c:strCache>
            </c:strRef>
          </c:tx>
          <c:spPr>
            <a:solidFill>
              <a:srgbClr val="0070C0"/>
            </a:solidFill>
            <a:ln w="12700">
              <a:solidFill>
                <a:schemeClr val="tx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2012</c:v>
                </c:pt>
                <c:pt idx="1">
                  <c:v>2013</c:v>
                </c:pt>
                <c:pt idx="2">
                  <c:v>2014</c:v>
                </c:pt>
                <c:pt idx="3">
                  <c:v>2015</c:v>
                </c:pt>
              </c:numCache>
            </c:numRef>
          </c:cat>
          <c:val>
            <c:numRef>
              <c:f>'Ark1'!$B$2:$B$5</c:f>
              <c:numCache>
                <c:formatCode>0.0\ %</c:formatCode>
                <c:ptCount val="4"/>
                <c:pt idx="0">
                  <c:v>0.33095527895444654</c:v>
                </c:pt>
                <c:pt idx="1">
                  <c:v>0.35889656311845963</c:v>
                </c:pt>
                <c:pt idx="2">
                  <c:v>0.36532152436045889</c:v>
                </c:pt>
                <c:pt idx="3">
                  <c:v>0.36113857493404861</c:v>
                </c:pt>
              </c:numCache>
            </c:numRef>
          </c:val>
          <c:extLst>
            <c:ext xmlns:c16="http://schemas.microsoft.com/office/drawing/2014/chart" uri="{C3380CC4-5D6E-409C-BE32-E72D297353CC}">
              <c16:uniqueId val="{00000000-BA8D-43BC-A298-915805E732BB}"/>
            </c:ext>
          </c:extLst>
        </c:ser>
        <c:ser>
          <c:idx val="1"/>
          <c:order val="1"/>
          <c:tx>
            <c:strRef>
              <c:f>'Ark1'!$C$1</c:f>
              <c:strCache>
                <c:ptCount val="1"/>
                <c:pt idx="0">
                  <c:v>Andel statlig emisjonskapital</c:v>
                </c:pt>
              </c:strCache>
            </c:strRef>
          </c:tx>
          <c:spPr>
            <a:solidFill>
              <a:srgbClr val="00B0F0"/>
            </a:solidFill>
            <a:ln w="12700">
              <a:solidFill>
                <a:schemeClr val="tx1"/>
              </a:solidFill>
            </a:ln>
            <a:effectLst/>
          </c:spPr>
          <c:invertIfNegative val="0"/>
          <c:dLbls>
            <c:dLbl>
              <c:idx val="0"/>
              <c:layout>
                <c:manualLayout>
                  <c:x val="4.8597583838603413E-4"/>
                  <c:y val="4.2273794723028044E-3"/>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8D-43BC-A298-915805E732BB}"/>
                </c:ext>
              </c:extLst>
            </c:dLbl>
            <c:dLbl>
              <c:idx val="1"/>
              <c:layout>
                <c:manualLayout>
                  <c:x val="-4.6453949353892163E-3"/>
                  <c:y val="-6.4318276004979497E-4"/>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8D-43BC-A298-915805E732BB}"/>
                </c:ext>
              </c:extLst>
            </c:dLbl>
            <c:dLbl>
              <c:idx val="2"/>
              <c:layout>
                <c:manualLayout>
                  <c:x val="-7.4879054752302306E-3"/>
                  <c:y val="1.4595938665562184E-3"/>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8D-43BC-A298-915805E732BB}"/>
                </c:ext>
              </c:extLst>
            </c:dLbl>
            <c:dLbl>
              <c:idx val="3"/>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6="http://schemas.microsoft.com/office/drawing/2014/chart" uri="{C3380CC4-5D6E-409C-BE32-E72D297353CC}">
                  <c16:uniqueId val="{00000004-BA8D-43BC-A298-915805E732B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2012</c:v>
                </c:pt>
                <c:pt idx="1">
                  <c:v>2013</c:v>
                </c:pt>
                <c:pt idx="2">
                  <c:v>2014</c:v>
                </c:pt>
                <c:pt idx="3">
                  <c:v>2015</c:v>
                </c:pt>
              </c:numCache>
            </c:numRef>
          </c:cat>
          <c:val>
            <c:numRef>
              <c:f>'Ark1'!$C$2:$C$5</c:f>
              <c:numCache>
                <c:formatCode>0.0\ %</c:formatCode>
                <c:ptCount val="4"/>
                <c:pt idx="0">
                  <c:v>4.2111723821762488E-2</c:v>
                </c:pt>
                <c:pt idx="1">
                  <c:v>5.6610241127135912E-2</c:v>
                </c:pt>
                <c:pt idx="2">
                  <c:v>3.7587134939492853E-2</c:v>
                </c:pt>
                <c:pt idx="3">
                  <c:v>6.5875495117214342E-2</c:v>
                </c:pt>
              </c:numCache>
            </c:numRef>
          </c:val>
          <c:extLst>
            <c:ext xmlns:c16="http://schemas.microsoft.com/office/drawing/2014/chart" uri="{C3380CC4-5D6E-409C-BE32-E72D297353CC}">
              <c16:uniqueId val="{00000005-BA8D-43BC-A298-915805E732BB}"/>
            </c:ext>
          </c:extLst>
        </c:ser>
        <c:ser>
          <c:idx val="2"/>
          <c:order val="2"/>
          <c:tx>
            <c:strRef>
              <c:f>'Ark1'!$D$1</c:f>
              <c:strCache>
                <c:ptCount val="1"/>
                <c:pt idx="0">
                  <c:v>Andel norsk privat emisjonskapital</c:v>
                </c:pt>
              </c:strCache>
            </c:strRef>
          </c:tx>
          <c:spPr>
            <a:solidFill>
              <a:srgbClr val="00B050"/>
            </a:solidFill>
            <a:ln w="12700">
              <a:solidFill>
                <a:schemeClr val="tx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2012</c:v>
                </c:pt>
                <c:pt idx="1">
                  <c:v>2013</c:v>
                </c:pt>
                <c:pt idx="2">
                  <c:v>2014</c:v>
                </c:pt>
                <c:pt idx="3">
                  <c:v>2015</c:v>
                </c:pt>
              </c:numCache>
            </c:numRef>
          </c:cat>
          <c:val>
            <c:numRef>
              <c:f>'Ark1'!$D$2:$D$5</c:f>
              <c:numCache>
                <c:formatCode>0.0\ %</c:formatCode>
                <c:ptCount val="4"/>
                <c:pt idx="0">
                  <c:v>0.62693299722379092</c:v>
                </c:pt>
                <c:pt idx="1">
                  <c:v>0.58449319575440439</c:v>
                </c:pt>
                <c:pt idx="2">
                  <c:v>0.59709134070004832</c:v>
                </c:pt>
                <c:pt idx="3">
                  <c:v>0.57298592994873709</c:v>
                </c:pt>
              </c:numCache>
            </c:numRef>
          </c:val>
          <c:extLst>
            <c:ext xmlns:c16="http://schemas.microsoft.com/office/drawing/2014/chart" uri="{C3380CC4-5D6E-409C-BE32-E72D297353CC}">
              <c16:uniqueId val="{00000006-BA8D-43BC-A298-915805E732BB}"/>
            </c:ext>
          </c:extLst>
        </c:ser>
        <c:dLbls>
          <c:showLegendKey val="0"/>
          <c:showVal val="0"/>
          <c:showCatName val="0"/>
          <c:showSerName val="0"/>
          <c:showPercent val="0"/>
          <c:showBubbleSize val="0"/>
        </c:dLbls>
        <c:gapWidth val="128"/>
        <c:overlap val="100"/>
        <c:axId val="546222528"/>
        <c:axId val="577681600"/>
      </c:barChart>
      <c:catAx>
        <c:axId val="54622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Century Gothic" panose="020B0502020202020204" pitchFamily="34" charset="0"/>
                <a:ea typeface="+mn-ea"/>
                <a:cs typeface="+mn-cs"/>
              </a:defRPr>
            </a:pPr>
            <a:endParaRPr lang="nb-NO"/>
          </a:p>
        </c:txPr>
        <c:crossAx val="577681600"/>
        <c:crosses val="autoZero"/>
        <c:auto val="1"/>
        <c:lblAlgn val="ctr"/>
        <c:lblOffset val="100"/>
        <c:noMultiLvlLbl val="0"/>
      </c:catAx>
      <c:valAx>
        <c:axId val="577681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entury Gothic" panose="020B0502020202020204" pitchFamily="34" charset="0"/>
                <a:ea typeface="+mn-ea"/>
                <a:cs typeface="+mn-cs"/>
              </a:defRPr>
            </a:pPr>
            <a:endParaRPr lang="nb-NO"/>
          </a:p>
        </c:txPr>
        <c:crossAx val="546222528"/>
        <c:crosses val="autoZero"/>
        <c:crossBetween val="between"/>
      </c:valAx>
      <c:spPr>
        <a:noFill/>
        <a:ln>
          <a:noFill/>
        </a:ln>
        <a:effectLst/>
      </c:spPr>
    </c:plotArea>
    <c:legend>
      <c:legendPos val="b"/>
      <c:layout>
        <c:manualLayout>
          <c:xMode val="edge"/>
          <c:yMode val="edge"/>
          <c:x val="0"/>
          <c:y val="0.86129780720389193"/>
          <c:w val="0.98456802655765585"/>
          <c:h val="0.131777172713223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aseline="0">
          <a:solidFill>
            <a:schemeClr val="tx1"/>
          </a:solidFill>
          <a:latin typeface="Century Gothic" panose="020B0502020202020204" pitchFamily="34" charset="0"/>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51965446914808"/>
          <c:y val="2.475685234305924E-2"/>
          <c:w val="0.47393137421882164"/>
          <c:h val="0.91252124645892352"/>
        </c:manualLayout>
      </c:layout>
      <c:barChart>
        <c:barDir val="col"/>
        <c:grouping val="stacked"/>
        <c:varyColors val="0"/>
        <c:ser>
          <c:idx val="0"/>
          <c:order val="0"/>
          <c:tx>
            <c:strRef>
              <c:f>'Ark1'!$B$1</c:f>
              <c:strCache>
                <c:ptCount val="1"/>
                <c:pt idx="0">
                  <c:v>Formuesskatt på arbeidende kapital og netto linknings-formue under 20 mill. kr</c:v>
                </c:pt>
              </c:strCache>
            </c:strRef>
          </c:tx>
          <c:spPr>
            <a:solidFill>
              <a:schemeClr val="accent6">
                <a:lumMod val="75000"/>
              </a:schemeClr>
            </a:solidFill>
            <a:ln>
              <a:solidFill>
                <a:schemeClr val="accent6">
                  <a:lumMod val="50000"/>
                </a:schemeClr>
              </a:solid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'Ark1'!$B$2</c:f>
              <c:numCache>
                <c:formatCode>General</c:formatCode>
                <c:ptCount val="1"/>
                <c:pt idx="0">
                  <c:v>3</c:v>
                </c:pt>
              </c:numCache>
            </c:numRef>
          </c:val>
          <c:extLst>
            <c:ext xmlns:c16="http://schemas.microsoft.com/office/drawing/2014/chart" uri="{C3380CC4-5D6E-409C-BE32-E72D297353CC}">
              <c16:uniqueId val="{00000000-8995-47B4-9166-3321E69C1BB1}"/>
            </c:ext>
          </c:extLst>
        </c:ser>
        <c:ser>
          <c:idx val="1"/>
          <c:order val="1"/>
          <c:tx>
            <c:strRef>
              <c:f>'Ark1'!$C$1</c:f>
              <c:strCache>
                <c:ptCount val="1"/>
                <c:pt idx="0">
                  <c:v>Formuesskatt på arbeidende kapital og netto liknings-formue mellom 20 og 50 mill. kr</c:v>
                </c:pt>
              </c:strCache>
            </c:strRef>
          </c:tx>
          <c:spPr>
            <a:solidFill>
              <a:schemeClr val="accent2"/>
            </a:solidFill>
            <a:ln>
              <a:solidFill>
                <a:schemeClr val="accent6">
                  <a:lumMod val="50000"/>
                </a:schemeClr>
              </a:solidFill>
            </a:ln>
            <a:effectLst/>
          </c:spPr>
          <c:invertIfNegative val="0"/>
          <c:dLbls>
            <c:dLbl>
              <c:idx val="0"/>
              <c:layout>
                <c:manualLayout>
                  <c:x val="-2.2185246810870773E-3"/>
                  <c:y val="3.7764350453172208E-3"/>
                </c:manualLayout>
              </c:layout>
              <c:tx>
                <c:rich>
                  <a:bodyPr/>
                  <a:lstStyle/>
                  <a:p>
                    <a:fld id="{F91055C2-0E05-478F-AF5A-6CA8BFD085C2}" type="VALUE">
                      <a:rPr lang="en-US" sz="900"/>
                      <a:pPr/>
                      <a:t>[VERDI]</a:t>
                    </a:fld>
                    <a:endParaRPr lang="nb-NO"/>
                  </a:p>
                </c:rich>
              </c:tx>
              <c:showLegendKey val="0"/>
              <c:showVal val="1"/>
              <c:showCatName val="0"/>
              <c:showSerName val="0"/>
              <c:showPercent val="0"/>
              <c:showBubbleSize val="0"/>
              <c:extLst>
                <c:ext xmlns:c15="http://schemas.microsoft.com/office/drawing/2012/chart" uri="{CE6537A1-D6FC-4f65-9D91-7224C49458BB}">
                  <c15:layout>
                    <c:manualLayout>
                      <c:w val="0.25110557752454743"/>
                      <c:h val="5.4980451935983457E-2"/>
                    </c:manualLayout>
                  </c15:layout>
                  <c15:dlblFieldTable/>
                  <c15:showDataLabelsRange val="0"/>
                </c:ext>
                <c:ext xmlns:c16="http://schemas.microsoft.com/office/drawing/2014/chart" uri="{C3380CC4-5D6E-409C-BE32-E72D297353CC}">
                  <c16:uniqueId val="{00000001-8995-47B4-9166-3321E69C1BB1}"/>
                </c:ext>
              </c:extLst>
            </c:dLbl>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'Ark1'!$C$2</c:f>
              <c:numCache>
                <c:formatCode>General</c:formatCode>
                <c:ptCount val="1"/>
                <c:pt idx="0">
                  <c:v>1.3</c:v>
                </c:pt>
              </c:numCache>
            </c:numRef>
          </c:val>
          <c:extLst>
            <c:ext xmlns:c16="http://schemas.microsoft.com/office/drawing/2014/chart" uri="{C3380CC4-5D6E-409C-BE32-E72D297353CC}">
              <c16:uniqueId val="{00000002-8995-47B4-9166-3321E69C1BB1}"/>
            </c:ext>
          </c:extLst>
        </c:ser>
        <c:ser>
          <c:idx val="2"/>
          <c:order val="2"/>
          <c:tx>
            <c:strRef>
              <c:f>'Ark1'!$D$1</c:f>
              <c:strCache>
                <c:ptCount val="1"/>
                <c:pt idx="0">
                  <c:v>Formuesskatt på arbeidende kapital og netto liknings-formue over 50 mill. kr</c:v>
                </c:pt>
              </c:strCache>
            </c:strRef>
          </c:tx>
          <c:spPr>
            <a:solidFill>
              <a:schemeClr val="accent5">
                <a:lumMod val="75000"/>
              </a:schemeClr>
            </a:solidFill>
            <a:ln>
              <a:solidFill>
                <a:schemeClr val="tx1"/>
              </a:solidFill>
            </a:ln>
            <a:effectLst/>
          </c:spPr>
          <c:invertIfNegative val="0"/>
          <c:dLbls>
            <c:dLbl>
              <c:idx val="0"/>
              <c:layout>
                <c:manualLayout>
                  <c:x val="1.1092623405434979E-3"/>
                  <c:y val="-5.664652567975830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15:layout>
                    <c:manualLayout>
                      <c:w val="6.9129229062673325E-2"/>
                      <c:h val="5.300241453957228E-2"/>
                    </c:manualLayout>
                  </c15:layout>
                </c:ext>
                <c:ext xmlns:c16="http://schemas.microsoft.com/office/drawing/2014/chart" uri="{C3380CC4-5D6E-409C-BE32-E72D297353CC}">
                  <c16:uniqueId val="{00000003-8995-47B4-9166-3321E69C1B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'Ark1'!$D$2</c:f>
              <c:numCache>
                <c:formatCode>General</c:formatCode>
                <c:ptCount val="1"/>
                <c:pt idx="0">
                  <c:v>4</c:v>
                </c:pt>
              </c:numCache>
            </c:numRef>
          </c:val>
          <c:extLst>
            <c:ext xmlns:c16="http://schemas.microsoft.com/office/drawing/2014/chart" uri="{C3380CC4-5D6E-409C-BE32-E72D297353CC}">
              <c16:uniqueId val="{00000004-8995-47B4-9166-3321E69C1BB1}"/>
            </c:ext>
          </c:extLst>
        </c:ser>
        <c:dLbls>
          <c:showLegendKey val="0"/>
          <c:showVal val="0"/>
          <c:showCatName val="0"/>
          <c:showSerName val="0"/>
          <c:showPercent val="0"/>
          <c:showBubbleSize val="0"/>
        </c:dLbls>
        <c:gapWidth val="150"/>
        <c:overlap val="100"/>
        <c:axId val="1817749519"/>
        <c:axId val="1602552207"/>
      </c:barChart>
      <c:catAx>
        <c:axId val="1817749519"/>
        <c:scaling>
          <c:orientation val="minMax"/>
        </c:scaling>
        <c:delete val="1"/>
        <c:axPos val="b"/>
        <c:numFmt formatCode="General" sourceLinked="1"/>
        <c:majorTickMark val="none"/>
        <c:minorTickMark val="none"/>
        <c:tickLblPos val="nextTo"/>
        <c:crossAx val="1602552207"/>
        <c:crosses val="autoZero"/>
        <c:auto val="1"/>
        <c:lblAlgn val="ctr"/>
        <c:lblOffset val="100"/>
        <c:noMultiLvlLbl val="0"/>
      </c:catAx>
      <c:valAx>
        <c:axId val="1602552207"/>
        <c:scaling>
          <c:orientation val="minMax"/>
          <c:max val="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nb-NO"/>
          </a:p>
        </c:txPr>
        <c:crossAx val="1817749519"/>
        <c:crosses val="autoZero"/>
        <c:crossBetween val="between"/>
      </c:valAx>
      <c:spPr>
        <a:noFill/>
        <a:ln>
          <a:noFill/>
        </a:ln>
        <a:effectLst/>
      </c:spPr>
    </c:plotArea>
    <c:legend>
      <c:legendPos val="r"/>
      <c:legendEntry>
        <c:idx val="1"/>
        <c:txPr>
          <a:bodyPr rot="0" spcFirstLastPara="1" vertOverflow="ellipsis" vert="horz" wrap="square" anchor="ctr" anchorCtr="1"/>
          <a:lstStyle/>
          <a:p>
            <a:pPr>
              <a:defRPr sz="600" b="1" i="0" u="none" strike="noStrike" kern="1200" baseline="0">
                <a:solidFill>
                  <a:sysClr val="windowText" lastClr="000000"/>
                </a:solidFill>
                <a:latin typeface="Century Gothic" panose="020B0502020202020204" pitchFamily="34" charset="0"/>
                <a:ea typeface="+mn-ea"/>
                <a:cs typeface="+mn-cs"/>
              </a:defRPr>
            </a:pPr>
            <a:endParaRPr lang="nb-NO"/>
          </a:p>
        </c:txPr>
      </c:legendEntry>
      <c:legendEntry>
        <c:idx val="2"/>
        <c:txPr>
          <a:bodyPr rot="0" spcFirstLastPara="1" vertOverflow="ellipsis" vert="horz" wrap="square" anchor="ctr" anchorCtr="1"/>
          <a:lstStyle/>
          <a:p>
            <a:pPr>
              <a:defRPr sz="600" b="1" i="0" u="none" strike="noStrike" kern="1200" baseline="0">
                <a:solidFill>
                  <a:sysClr val="windowText" lastClr="000000"/>
                </a:solidFill>
                <a:latin typeface="Century Gothic" panose="020B0502020202020204" pitchFamily="34" charset="0"/>
                <a:ea typeface="+mn-ea"/>
                <a:cs typeface="+mn-cs"/>
              </a:defRPr>
            </a:pPr>
            <a:endParaRPr lang="nb-NO"/>
          </a:p>
        </c:txPr>
      </c:legendEntry>
      <c:layout>
        <c:manualLayout>
          <c:xMode val="edge"/>
          <c:yMode val="edge"/>
          <c:x val="0.61691439798758618"/>
          <c:y val="1.9953529021252286E-2"/>
          <c:w val="0.36533825521337243"/>
          <c:h val="0.96683123387591474"/>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'Ark1'!$B$1</c:f>
              <c:strCache>
                <c:ptCount val="1"/>
                <c:pt idx="0">
                  <c:v>Mikro</c:v>
                </c:pt>
              </c:strCache>
            </c:strRef>
          </c:tx>
          <c:spPr>
            <a:solidFill>
              <a:schemeClr val="accent1"/>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2012</c:v>
                </c:pt>
                <c:pt idx="1">
                  <c:v>2013</c:v>
                </c:pt>
                <c:pt idx="2">
                  <c:v>2014</c:v>
                </c:pt>
                <c:pt idx="3">
                  <c:v>2015</c:v>
                </c:pt>
              </c:numCache>
            </c:numRef>
          </c:cat>
          <c:val>
            <c:numRef>
              <c:f>'Ark1'!$B$2:$B$5</c:f>
              <c:numCache>
                <c:formatCode>General</c:formatCode>
                <c:ptCount val="4"/>
                <c:pt idx="0">
                  <c:v>730</c:v>
                </c:pt>
                <c:pt idx="1">
                  <c:v>841</c:v>
                </c:pt>
                <c:pt idx="2">
                  <c:v>922</c:v>
                </c:pt>
                <c:pt idx="3" formatCode="#,##0">
                  <c:v>1010</c:v>
                </c:pt>
              </c:numCache>
            </c:numRef>
          </c:val>
          <c:extLst>
            <c:ext xmlns:c16="http://schemas.microsoft.com/office/drawing/2014/chart" uri="{C3380CC4-5D6E-409C-BE32-E72D297353CC}">
              <c16:uniqueId val="{00000000-AFC1-4339-B019-AD8B20066BB4}"/>
            </c:ext>
          </c:extLst>
        </c:ser>
        <c:ser>
          <c:idx val="1"/>
          <c:order val="1"/>
          <c:tx>
            <c:strRef>
              <c:f>'Ark1'!$C$1</c:f>
              <c:strCache>
                <c:ptCount val="1"/>
                <c:pt idx="0">
                  <c:v>Liten</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2012</c:v>
                </c:pt>
                <c:pt idx="1">
                  <c:v>2013</c:v>
                </c:pt>
                <c:pt idx="2">
                  <c:v>2014</c:v>
                </c:pt>
                <c:pt idx="3">
                  <c:v>2015</c:v>
                </c:pt>
              </c:numCache>
            </c:numRef>
          </c:cat>
          <c:val>
            <c:numRef>
              <c:f>'Ark1'!$C$2:$C$5</c:f>
              <c:numCache>
                <c:formatCode>#,##0</c:formatCode>
                <c:ptCount val="4"/>
                <c:pt idx="0">
                  <c:v>1191</c:v>
                </c:pt>
                <c:pt idx="1">
                  <c:v>1221</c:v>
                </c:pt>
                <c:pt idx="2">
                  <c:v>1341</c:v>
                </c:pt>
                <c:pt idx="3">
                  <c:v>1493</c:v>
                </c:pt>
              </c:numCache>
            </c:numRef>
          </c:val>
          <c:extLst>
            <c:ext xmlns:c16="http://schemas.microsoft.com/office/drawing/2014/chart" uri="{C3380CC4-5D6E-409C-BE32-E72D297353CC}">
              <c16:uniqueId val="{00000001-AFC1-4339-B019-AD8B20066BB4}"/>
            </c:ext>
          </c:extLst>
        </c:ser>
        <c:ser>
          <c:idx val="2"/>
          <c:order val="2"/>
          <c:tx>
            <c:strRef>
              <c:f>'Ark1'!$D$1</c:f>
              <c:strCache>
                <c:ptCount val="1"/>
                <c:pt idx="0">
                  <c:v>Mellomstor</c:v>
                </c:pt>
              </c:strCache>
            </c:strRef>
          </c:tx>
          <c:spPr>
            <a:solidFill>
              <a:schemeClr val="accent3"/>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2012</c:v>
                </c:pt>
                <c:pt idx="1">
                  <c:v>2013</c:v>
                </c:pt>
                <c:pt idx="2">
                  <c:v>2014</c:v>
                </c:pt>
                <c:pt idx="3">
                  <c:v>2015</c:v>
                </c:pt>
              </c:numCache>
            </c:numRef>
          </c:cat>
          <c:val>
            <c:numRef>
              <c:f>'Ark1'!$D$2:$D$5</c:f>
              <c:numCache>
                <c:formatCode>General</c:formatCode>
                <c:ptCount val="4"/>
                <c:pt idx="0">
                  <c:v>820</c:v>
                </c:pt>
                <c:pt idx="1">
                  <c:v>965</c:v>
                </c:pt>
                <c:pt idx="2" formatCode="#,##0">
                  <c:v>1007</c:v>
                </c:pt>
                <c:pt idx="3" formatCode="#,##0">
                  <c:v>1092</c:v>
                </c:pt>
              </c:numCache>
            </c:numRef>
          </c:val>
          <c:extLst>
            <c:ext xmlns:c16="http://schemas.microsoft.com/office/drawing/2014/chart" uri="{C3380CC4-5D6E-409C-BE32-E72D297353CC}">
              <c16:uniqueId val="{00000002-AFC1-4339-B019-AD8B20066BB4}"/>
            </c:ext>
          </c:extLst>
        </c:ser>
        <c:ser>
          <c:idx val="3"/>
          <c:order val="3"/>
          <c:tx>
            <c:strRef>
              <c:f>'Ark1'!$E$1</c:f>
              <c:strCache>
                <c:ptCount val="1"/>
                <c:pt idx="0">
                  <c:v>Stor</c:v>
                </c:pt>
              </c:strCache>
            </c:strRef>
          </c:tx>
          <c:spPr>
            <a:solidFill>
              <a:schemeClr val="accent4"/>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2012</c:v>
                </c:pt>
                <c:pt idx="1">
                  <c:v>2013</c:v>
                </c:pt>
                <c:pt idx="2">
                  <c:v>2014</c:v>
                </c:pt>
                <c:pt idx="3">
                  <c:v>2015</c:v>
                </c:pt>
              </c:numCache>
            </c:numRef>
          </c:cat>
          <c:val>
            <c:numRef>
              <c:f>'Ark1'!$E$2:$E$5</c:f>
              <c:numCache>
                <c:formatCode>General</c:formatCode>
                <c:ptCount val="4"/>
                <c:pt idx="0">
                  <c:v>820</c:v>
                </c:pt>
                <c:pt idx="1">
                  <c:v>653</c:v>
                </c:pt>
                <c:pt idx="2">
                  <c:v>841</c:v>
                </c:pt>
                <c:pt idx="3" formatCode="#,##0">
                  <c:v>1221</c:v>
                </c:pt>
              </c:numCache>
            </c:numRef>
          </c:val>
          <c:extLst>
            <c:ext xmlns:c16="http://schemas.microsoft.com/office/drawing/2014/chart" uri="{C3380CC4-5D6E-409C-BE32-E72D297353CC}">
              <c16:uniqueId val="{00000003-AFC1-4339-B019-AD8B20066BB4}"/>
            </c:ext>
          </c:extLst>
        </c:ser>
        <c:dLbls>
          <c:showLegendKey val="0"/>
          <c:showVal val="0"/>
          <c:showCatName val="0"/>
          <c:showSerName val="0"/>
          <c:showPercent val="0"/>
          <c:showBubbleSize val="0"/>
        </c:dLbls>
        <c:gapWidth val="150"/>
        <c:overlap val="100"/>
        <c:axId val="911671456"/>
        <c:axId val="338888000"/>
      </c:barChart>
      <c:catAx>
        <c:axId val="91167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crossAx val="338888000"/>
        <c:crosses val="autoZero"/>
        <c:auto val="1"/>
        <c:lblAlgn val="ctr"/>
        <c:lblOffset val="100"/>
        <c:noMultiLvlLbl val="0"/>
      </c:catAx>
      <c:valAx>
        <c:axId val="338888000"/>
        <c:scaling>
          <c:orientation val="minMax"/>
          <c:max val="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911671456"/>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'Ark1'!$B$1</c:f>
              <c:strCache>
                <c:ptCount val="1"/>
                <c:pt idx="0">
                  <c:v>Andel i mikrobedrift</c:v>
                </c:pt>
              </c:strCache>
            </c:strRef>
          </c:tx>
          <c:spPr>
            <a:solidFill>
              <a:schemeClr val="accent1"/>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2012</c:v>
                </c:pt>
                <c:pt idx="1">
                  <c:v>2013</c:v>
                </c:pt>
                <c:pt idx="2">
                  <c:v>2014</c:v>
                </c:pt>
                <c:pt idx="3">
                  <c:v>2015</c:v>
                </c:pt>
              </c:numCache>
            </c:numRef>
          </c:cat>
          <c:val>
            <c:numRef>
              <c:f>'Ark1'!$B$2:$B$5</c:f>
              <c:numCache>
                <c:formatCode>0.0\ %</c:formatCode>
                <c:ptCount val="4"/>
                <c:pt idx="0">
                  <c:v>0.20499859590002809</c:v>
                </c:pt>
                <c:pt idx="1">
                  <c:v>0.22853260869565217</c:v>
                </c:pt>
                <c:pt idx="2">
                  <c:v>0.22427633179275117</c:v>
                </c:pt>
                <c:pt idx="3">
                  <c:v>0.20971760797342193</c:v>
                </c:pt>
              </c:numCache>
            </c:numRef>
          </c:val>
          <c:extLst>
            <c:ext xmlns:c16="http://schemas.microsoft.com/office/drawing/2014/chart" uri="{C3380CC4-5D6E-409C-BE32-E72D297353CC}">
              <c16:uniqueId val="{00000000-E9ED-4AF3-8B40-B38901FDC10B}"/>
            </c:ext>
          </c:extLst>
        </c:ser>
        <c:ser>
          <c:idx val="1"/>
          <c:order val="1"/>
          <c:tx>
            <c:strRef>
              <c:f>'Ark1'!$C$1</c:f>
              <c:strCache>
                <c:ptCount val="1"/>
                <c:pt idx="0">
                  <c:v>Andel i liten bedrift</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2012</c:v>
                </c:pt>
                <c:pt idx="1">
                  <c:v>2013</c:v>
                </c:pt>
                <c:pt idx="2">
                  <c:v>2014</c:v>
                </c:pt>
                <c:pt idx="3">
                  <c:v>2015</c:v>
                </c:pt>
              </c:numCache>
            </c:numRef>
          </c:cat>
          <c:val>
            <c:numRef>
              <c:f>'Ark1'!$C$2:$C$5</c:f>
              <c:numCache>
                <c:formatCode>0.0\ %</c:formatCode>
                <c:ptCount val="4"/>
                <c:pt idx="0">
                  <c:v>0.33445661331086773</c:v>
                </c:pt>
                <c:pt idx="1">
                  <c:v>0.33179347826086958</c:v>
                </c:pt>
                <c:pt idx="2">
                  <c:v>0.32619800535149601</c:v>
                </c:pt>
                <c:pt idx="3">
                  <c:v>0.31000830564784054</c:v>
                </c:pt>
              </c:numCache>
            </c:numRef>
          </c:val>
          <c:extLst>
            <c:ext xmlns:c16="http://schemas.microsoft.com/office/drawing/2014/chart" uri="{C3380CC4-5D6E-409C-BE32-E72D297353CC}">
              <c16:uniqueId val="{00000001-E9ED-4AF3-8B40-B38901FDC10B}"/>
            </c:ext>
          </c:extLst>
        </c:ser>
        <c:ser>
          <c:idx val="2"/>
          <c:order val="2"/>
          <c:tx>
            <c:strRef>
              <c:f>'Ark1'!$D$1</c:f>
              <c:strCache>
                <c:ptCount val="1"/>
                <c:pt idx="0">
                  <c:v>Andel i mellomstor bedrift</c:v>
                </c:pt>
              </c:strCache>
            </c:strRef>
          </c:tx>
          <c:spPr>
            <a:solidFill>
              <a:schemeClr val="accent3"/>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2012</c:v>
                </c:pt>
                <c:pt idx="1">
                  <c:v>2013</c:v>
                </c:pt>
                <c:pt idx="2">
                  <c:v>2014</c:v>
                </c:pt>
                <c:pt idx="3">
                  <c:v>2015</c:v>
                </c:pt>
              </c:numCache>
            </c:numRef>
          </c:cat>
          <c:val>
            <c:numRef>
              <c:f>'Ark1'!$D$2:$D$5</c:f>
              <c:numCache>
                <c:formatCode>0.0\ %</c:formatCode>
                <c:ptCount val="4"/>
                <c:pt idx="0">
                  <c:v>0.2302723953945521</c:v>
                </c:pt>
                <c:pt idx="1">
                  <c:v>0.26222826086956524</c:v>
                </c:pt>
                <c:pt idx="2">
                  <c:v>0.2449525662855753</c:v>
                </c:pt>
                <c:pt idx="3">
                  <c:v>0.22674418604651161</c:v>
                </c:pt>
              </c:numCache>
            </c:numRef>
          </c:val>
          <c:extLst>
            <c:ext xmlns:c16="http://schemas.microsoft.com/office/drawing/2014/chart" uri="{C3380CC4-5D6E-409C-BE32-E72D297353CC}">
              <c16:uniqueId val="{00000002-E9ED-4AF3-8B40-B38901FDC10B}"/>
            </c:ext>
          </c:extLst>
        </c:ser>
        <c:ser>
          <c:idx val="3"/>
          <c:order val="3"/>
          <c:tx>
            <c:strRef>
              <c:f>'Ark1'!$E$1</c:f>
              <c:strCache>
                <c:ptCount val="1"/>
                <c:pt idx="0">
                  <c:v>Andel i stor bedrift</c:v>
                </c:pt>
              </c:strCache>
            </c:strRef>
          </c:tx>
          <c:spPr>
            <a:solidFill>
              <a:schemeClr val="accent4"/>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2012</c:v>
                </c:pt>
                <c:pt idx="1">
                  <c:v>2013</c:v>
                </c:pt>
                <c:pt idx="2">
                  <c:v>2014</c:v>
                </c:pt>
                <c:pt idx="3">
                  <c:v>2015</c:v>
                </c:pt>
              </c:numCache>
            </c:numRef>
          </c:cat>
          <c:val>
            <c:numRef>
              <c:f>'Ark1'!$E$2:$E$5</c:f>
              <c:numCache>
                <c:formatCode>0.0\ %</c:formatCode>
                <c:ptCount val="4"/>
                <c:pt idx="0">
                  <c:v>0.2302723953945521</c:v>
                </c:pt>
                <c:pt idx="1">
                  <c:v>0.17744565217391303</c:v>
                </c:pt>
                <c:pt idx="2">
                  <c:v>0.20457309657017758</c:v>
                </c:pt>
                <c:pt idx="3">
                  <c:v>0.25352990033222589</c:v>
                </c:pt>
              </c:numCache>
            </c:numRef>
          </c:val>
          <c:extLst>
            <c:ext xmlns:c16="http://schemas.microsoft.com/office/drawing/2014/chart" uri="{C3380CC4-5D6E-409C-BE32-E72D297353CC}">
              <c16:uniqueId val="{00000003-E9ED-4AF3-8B40-B38901FDC10B}"/>
            </c:ext>
          </c:extLst>
        </c:ser>
        <c:dLbls>
          <c:showLegendKey val="0"/>
          <c:showVal val="0"/>
          <c:showCatName val="0"/>
          <c:showSerName val="0"/>
          <c:showPercent val="0"/>
          <c:showBubbleSize val="0"/>
        </c:dLbls>
        <c:gapWidth val="150"/>
        <c:overlap val="100"/>
        <c:axId val="329177312"/>
        <c:axId val="587412960"/>
      </c:barChart>
      <c:catAx>
        <c:axId val="32917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crossAx val="587412960"/>
        <c:crosses val="autoZero"/>
        <c:auto val="1"/>
        <c:lblAlgn val="ctr"/>
        <c:lblOffset val="100"/>
        <c:noMultiLvlLbl val="0"/>
      </c:catAx>
      <c:valAx>
        <c:axId val="587412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329177312"/>
        <c:crosses val="autoZero"/>
        <c:crossBetween val="between"/>
      </c:valAx>
      <c:spPr>
        <a:noFill/>
        <a:ln>
          <a:noFill/>
        </a:ln>
        <a:effectLst/>
      </c:spPr>
    </c:plotArea>
    <c:legend>
      <c:legendPos val="b"/>
      <c:layout>
        <c:manualLayout>
          <c:xMode val="edge"/>
          <c:yMode val="edge"/>
          <c:x val="0.11623086176727909"/>
          <c:y val="0.85029621297337832"/>
          <c:w val="0.79300123942840484"/>
          <c:h val="0.1258942632170978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16037108804901"/>
          <c:y val="3.1482347645356297E-2"/>
          <c:w val="0.83383962891195096"/>
          <c:h val="0.70757860827914598"/>
        </c:manualLayout>
      </c:layout>
      <c:barChart>
        <c:barDir val="col"/>
        <c:grouping val="clustered"/>
        <c:varyColors val="0"/>
        <c:ser>
          <c:idx val="0"/>
          <c:order val="0"/>
          <c:tx>
            <c:strRef>
              <c:f>Non_Oslo_firm_size!$C$31</c:f>
              <c:strCache>
                <c:ptCount val="1"/>
                <c:pt idx="0">
                  <c:v>Antall emisjonsavtaler</c:v>
                </c:pt>
              </c:strCache>
            </c:strRef>
          </c:tx>
          <c:spPr>
            <a:solidFill>
              <a:schemeClr val="tx2">
                <a:lumMod val="75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Non_Oslo_firm_size!$B$32:$B$35</c:f>
              <c:strCache>
                <c:ptCount val="4"/>
                <c:pt idx="0">
                  <c:v>Mikro</c:v>
                </c:pt>
                <c:pt idx="1">
                  <c:v>Liten</c:v>
                </c:pt>
                <c:pt idx="2">
                  <c:v>Mellomstor</c:v>
                </c:pt>
                <c:pt idx="3">
                  <c:v>Stor</c:v>
                </c:pt>
              </c:strCache>
            </c:strRef>
          </c:cat>
          <c:val>
            <c:numRef>
              <c:f>Non_Oslo_firm_size!$C$32:$C$35</c:f>
              <c:numCache>
                <c:formatCode>_-* #,##0_-;\-* #,##0_-;_-* "-"??_-;_-@_-</c:formatCode>
                <c:ptCount val="4"/>
                <c:pt idx="0">
                  <c:v>734</c:v>
                </c:pt>
                <c:pt idx="1">
                  <c:v>1116</c:v>
                </c:pt>
                <c:pt idx="2">
                  <c:v>757</c:v>
                </c:pt>
                <c:pt idx="3">
                  <c:v>481</c:v>
                </c:pt>
              </c:numCache>
            </c:numRef>
          </c:val>
          <c:extLst>
            <c:ext xmlns:c16="http://schemas.microsoft.com/office/drawing/2014/chart" uri="{C3380CC4-5D6E-409C-BE32-E72D297353CC}">
              <c16:uniqueId val="{00000000-B2D3-4BF5-A896-1D0276E99285}"/>
            </c:ext>
          </c:extLst>
        </c:ser>
        <c:dLbls>
          <c:showLegendKey val="0"/>
          <c:showVal val="0"/>
          <c:showCatName val="0"/>
          <c:showSerName val="0"/>
          <c:showPercent val="0"/>
          <c:showBubbleSize val="0"/>
        </c:dLbls>
        <c:gapWidth val="50"/>
        <c:overlap val="-27"/>
        <c:axId val="1627936447"/>
        <c:axId val="1866956799"/>
      </c:barChart>
      <c:catAx>
        <c:axId val="162793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crossAx val="1866956799"/>
        <c:crosses val="autoZero"/>
        <c:auto val="1"/>
        <c:lblAlgn val="ctr"/>
        <c:lblOffset val="100"/>
        <c:noMultiLvlLbl val="0"/>
      </c:catAx>
      <c:valAx>
        <c:axId val="1866956799"/>
        <c:scaling>
          <c:orientation val="minMax"/>
        </c:scaling>
        <c:delete val="0"/>
        <c:axPos val="l"/>
        <c:majorGridlines>
          <c:spPr>
            <a:ln w="9525" cap="flat" cmpd="sng" algn="ctr">
              <a:no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1627936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sz="900"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16037108804901"/>
          <c:y val="5.3095975776587555E-2"/>
          <c:w val="0.83383962891195096"/>
          <c:h val="0.68931257978639227"/>
        </c:manualLayout>
      </c:layout>
      <c:barChart>
        <c:barDir val="col"/>
        <c:grouping val="clustered"/>
        <c:varyColors val="0"/>
        <c:ser>
          <c:idx val="0"/>
          <c:order val="0"/>
          <c:tx>
            <c:strRef>
              <c:f>Oslo_firm_size!$C$29</c:f>
              <c:strCache>
                <c:ptCount val="1"/>
                <c:pt idx="0">
                  <c:v>Antall emisjonsavtaler</c:v>
                </c:pt>
              </c:strCache>
            </c:strRef>
          </c:tx>
          <c:spPr>
            <a:solidFill>
              <a:schemeClr val="tx2">
                <a:lumMod val="75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Oslo_firm_size!$B$30:$B$33</c:f>
              <c:strCache>
                <c:ptCount val="4"/>
                <c:pt idx="0">
                  <c:v>Mikro</c:v>
                </c:pt>
                <c:pt idx="1">
                  <c:v>Liten</c:v>
                </c:pt>
                <c:pt idx="2">
                  <c:v>Mellomstor</c:v>
                </c:pt>
                <c:pt idx="3">
                  <c:v>Stor</c:v>
                </c:pt>
              </c:strCache>
            </c:strRef>
          </c:cat>
          <c:val>
            <c:numRef>
              <c:f>Oslo_firm_size!$C$30:$C$33</c:f>
              <c:numCache>
                <c:formatCode>_-* #,##0_-;\-* #,##0_-;_-* "-"??_-;_-@_-</c:formatCode>
                <c:ptCount val="4"/>
                <c:pt idx="0">
                  <c:v>276</c:v>
                </c:pt>
                <c:pt idx="1">
                  <c:v>377</c:v>
                </c:pt>
                <c:pt idx="2">
                  <c:v>335</c:v>
                </c:pt>
                <c:pt idx="3">
                  <c:v>446</c:v>
                </c:pt>
              </c:numCache>
            </c:numRef>
          </c:val>
          <c:extLst>
            <c:ext xmlns:c16="http://schemas.microsoft.com/office/drawing/2014/chart" uri="{C3380CC4-5D6E-409C-BE32-E72D297353CC}">
              <c16:uniqueId val="{00000000-48FC-44D1-93DF-15AD8D4117F0}"/>
            </c:ext>
          </c:extLst>
        </c:ser>
        <c:dLbls>
          <c:showLegendKey val="0"/>
          <c:showVal val="0"/>
          <c:showCatName val="0"/>
          <c:showSerName val="0"/>
          <c:showPercent val="0"/>
          <c:showBubbleSize val="0"/>
        </c:dLbls>
        <c:gapWidth val="50"/>
        <c:overlap val="-27"/>
        <c:axId val="1754991327"/>
        <c:axId val="1941235999"/>
      </c:barChart>
      <c:catAx>
        <c:axId val="1754991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crossAx val="1941235999"/>
        <c:crosses val="autoZero"/>
        <c:auto val="1"/>
        <c:lblAlgn val="ctr"/>
        <c:lblOffset val="100"/>
        <c:noMultiLvlLbl val="0"/>
      </c:catAx>
      <c:valAx>
        <c:axId val="1941235999"/>
        <c:scaling>
          <c:orientation val="minMax"/>
          <c:max val="1200"/>
        </c:scaling>
        <c:delete val="0"/>
        <c:axPos val="l"/>
        <c:majorGridlines>
          <c:spPr>
            <a:ln w="9525" cap="flat" cmpd="sng" algn="ctr">
              <a:no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1754991327"/>
        <c:crosses val="autoZero"/>
        <c:crossBetween val="between"/>
        <c:majorUnit val="2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Utenlandsk emisjonskapital</c:v>
                </c:pt>
              </c:strCache>
            </c:strRef>
          </c:tx>
          <c:spPr>
            <a:solidFill>
              <a:srgbClr val="0070C0"/>
            </a:solidFill>
            <a:ln w="12700">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429-46A4-A6DC-AE3F8EE093CD}"/>
                </c:ext>
              </c:extLst>
            </c:dLbl>
            <c:dLbl>
              <c:idx val="2"/>
              <c:layout>
                <c:manualLayout>
                  <c:x val="-2.2331397945511387E-2"/>
                  <c:y val="-3.52790165524474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29-46A4-A6DC-AE3F8EE093CD}"/>
                </c:ext>
              </c:extLst>
            </c:dLbl>
            <c:dLbl>
              <c:idx val="3"/>
              <c:layout>
                <c:manualLayout>
                  <c:x val="-8.0393032603840994E-2"/>
                  <c:y val="-2.93987946494193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29-46A4-A6DC-AE3F8EE093CD}"/>
                </c:ext>
              </c:extLst>
            </c:dLbl>
            <c:numFmt formatCode="#,##0.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'Ark1'!$B$2:$B$5</c:f>
              <c:numCache>
                <c:formatCode>_-* #,##0.0_-;\-* #,##0.0_-;_-* "-"??_-;_-@_-</c:formatCode>
                <c:ptCount val="4"/>
                <c:pt idx="0">
                  <c:v>19578339.021560669</c:v>
                </c:pt>
                <c:pt idx="1">
                  <c:v>95858016.413562775</c:v>
                </c:pt>
                <c:pt idx="2">
                  <c:v>462195699.48431778</c:v>
                </c:pt>
                <c:pt idx="3">
                  <c:v>8955426479.9651489</c:v>
                </c:pt>
              </c:numCache>
            </c:numRef>
          </c:val>
          <c:extLst>
            <c:ext xmlns:c16="http://schemas.microsoft.com/office/drawing/2014/chart" uri="{C3380CC4-5D6E-409C-BE32-E72D297353CC}">
              <c16:uniqueId val="{00000003-C429-46A4-A6DC-AE3F8EE093CD}"/>
            </c:ext>
          </c:extLst>
        </c:ser>
        <c:ser>
          <c:idx val="1"/>
          <c:order val="1"/>
          <c:tx>
            <c:strRef>
              <c:f>'Ark1'!$C$1</c:f>
              <c:strCache>
                <c:ptCount val="1"/>
                <c:pt idx="0">
                  <c:v>Statlig emisjonskapital</c:v>
                </c:pt>
              </c:strCache>
            </c:strRef>
          </c:tx>
          <c:spPr>
            <a:solidFill>
              <a:srgbClr val="00B0F0"/>
            </a:solidFill>
            <a:ln w="12700">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C429-46A4-A6DC-AE3F8EE093CD}"/>
                </c:ext>
              </c:extLst>
            </c:dLbl>
            <c:dLbl>
              <c:idx val="1"/>
              <c:delete val="1"/>
              <c:extLst>
                <c:ext xmlns:c15="http://schemas.microsoft.com/office/drawing/2012/chart" uri="{CE6537A1-D6FC-4f65-9D91-7224C49458BB}"/>
                <c:ext xmlns:c16="http://schemas.microsoft.com/office/drawing/2014/chart" uri="{C3380CC4-5D6E-409C-BE32-E72D297353CC}">
                  <c16:uniqueId val="{00000005-C429-46A4-A6DC-AE3F8EE093CD}"/>
                </c:ext>
              </c:extLst>
            </c:dLbl>
            <c:dLbl>
              <c:idx val="2"/>
              <c:layout>
                <c:manualLayout>
                  <c:x val="-1.786511835640911E-2"/>
                  <c:y val="-9.62155227710070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29-46A4-A6DC-AE3F8EE093CD}"/>
                </c:ext>
              </c:extLst>
            </c:dLbl>
            <c:dLbl>
              <c:idx val="3"/>
              <c:layout>
                <c:manualLayout>
                  <c:x val="-1.3398838767306834E-2"/>
                  <c:y val="-0.24400996429559951"/>
                </c:manualLayout>
              </c:layout>
              <c:showLegendKey val="0"/>
              <c:showVal val="1"/>
              <c:showCatName val="0"/>
              <c:showSerName val="0"/>
              <c:showPercent val="0"/>
              <c:showBubbleSize val="0"/>
              <c:extLst>
                <c:ext xmlns:c15="http://schemas.microsoft.com/office/drawing/2012/chart" uri="{CE6537A1-D6FC-4f65-9D91-7224C49458BB}">
                  <c15:layout>
                    <c:manualLayout>
                      <c:w val="0.10504689593568557"/>
                      <c:h val="3.2266698677280437E-2"/>
                    </c:manualLayout>
                  </c15:layout>
                </c:ext>
                <c:ext xmlns:c16="http://schemas.microsoft.com/office/drawing/2014/chart" uri="{C3380CC4-5D6E-409C-BE32-E72D297353CC}">
                  <c16:uniqueId val="{00000007-C429-46A4-A6DC-AE3F8EE093CD}"/>
                </c:ext>
              </c:extLst>
            </c:dLbl>
            <c:numFmt formatCode="#,##0.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'Ark1'!$C$2:$C$5</c:f>
              <c:numCache>
                <c:formatCode>_-* #,##0.0_-;\-* #,##0.0_-;_-* "-"??_-;_-@_-</c:formatCode>
                <c:ptCount val="4"/>
                <c:pt idx="0">
                  <c:v>10974676.867675781</c:v>
                </c:pt>
                <c:pt idx="1">
                  <c:v>26227378.457641602</c:v>
                </c:pt>
                <c:pt idx="2">
                  <c:v>80983034.276184082</c:v>
                </c:pt>
                <c:pt idx="3">
                  <c:v>3272476891.3398438</c:v>
                </c:pt>
              </c:numCache>
            </c:numRef>
          </c:val>
          <c:extLst>
            <c:ext xmlns:c16="http://schemas.microsoft.com/office/drawing/2014/chart" uri="{C3380CC4-5D6E-409C-BE32-E72D297353CC}">
              <c16:uniqueId val="{00000008-C429-46A4-A6DC-AE3F8EE093CD}"/>
            </c:ext>
          </c:extLst>
        </c:ser>
        <c:ser>
          <c:idx val="2"/>
          <c:order val="2"/>
          <c:tx>
            <c:strRef>
              <c:f>'Ark1'!$D$1</c:f>
              <c:strCache>
                <c:ptCount val="1"/>
                <c:pt idx="0">
                  <c:v>Norsk privat emisjonskapital</c:v>
                </c:pt>
              </c:strCache>
            </c:strRef>
          </c:tx>
          <c:spPr>
            <a:solidFill>
              <a:srgbClr val="00B050"/>
            </a:solidFill>
            <a:ln w="12700">
              <a:solidFill>
                <a:schemeClr val="tx1"/>
              </a:solidFill>
            </a:ln>
            <a:effectLst/>
          </c:spPr>
          <c:invertIfNegative val="0"/>
          <c:dLbls>
            <c:dLbl>
              <c:idx val="1"/>
              <c:layout>
                <c:manualLayout>
                  <c:x val="-7.1460473425636439E-2"/>
                  <c:y val="-1.8441146275207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29-46A4-A6DC-AE3F8EE093CD}"/>
                </c:ext>
              </c:extLst>
            </c:dLbl>
            <c:numFmt formatCode="#,##0.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'Ark1'!$D$2:$D$5</c:f>
              <c:numCache>
                <c:formatCode>_-* #,##0.0_-;\-* #,##0.0_-;_-* "-"??_-;_-@_-</c:formatCode>
                <c:ptCount val="4"/>
                <c:pt idx="0">
                  <c:v>469706984.11076355</c:v>
                </c:pt>
                <c:pt idx="1">
                  <c:v>1449516605.1287956</c:v>
                </c:pt>
                <c:pt idx="2">
                  <c:v>2714157266.2394981</c:v>
                </c:pt>
                <c:pt idx="3">
                  <c:v>11702243804.695007</c:v>
                </c:pt>
              </c:numCache>
            </c:numRef>
          </c:val>
          <c:extLst>
            <c:ext xmlns:c16="http://schemas.microsoft.com/office/drawing/2014/chart" uri="{C3380CC4-5D6E-409C-BE32-E72D297353CC}">
              <c16:uniqueId val="{0000000A-C429-46A4-A6DC-AE3F8EE093CD}"/>
            </c:ext>
          </c:extLst>
        </c:ser>
        <c:dLbls>
          <c:showLegendKey val="0"/>
          <c:showVal val="0"/>
          <c:showCatName val="0"/>
          <c:showSerName val="0"/>
          <c:showPercent val="0"/>
          <c:showBubbleSize val="0"/>
        </c:dLbls>
        <c:gapWidth val="50"/>
        <c:axId val="1883616096"/>
        <c:axId val="1883167632"/>
      </c:barChart>
      <c:catAx>
        <c:axId val="188361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crossAx val="1883167632"/>
        <c:crosses val="autoZero"/>
        <c:auto val="1"/>
        <c:lblAlgn val="ctr"/>
        <c:lblOffset val="100"/>
        <c:noMultiLvlLbl val="0"/>
      </c:catAx>
      <c:valAx>
        <c:axId val="1883167632"/>
        <c:scaling>
          <c:orientation val="minMax"/>
          <c:max val="20000000000"/>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crossAx val="1883616096"/>
        <c:crosses val="autoZero"/>
        <c:crossBetween val="between"/>
        <c:dispUnits>
          <c:builtInUnit val="billions"/>
          <c:dispUnitsLbl>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sz="800"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24882804120231"/>
          <c:y val="6.7031222437819726E-2"/>
          <c:w val="0.78562209647867265"/>
          <c:h val="0.72279835748205135"/>
        </c:manualLayout>
      </c:layout>
      <c:barChart>
        <c:barDir val="col"/>
        <c:grouping val="percentStacked"/>
        <c:varyColors val="0"/>
        <c:ser>
          <c:idx val="0"/>
          <c:order val="0"/>
          <c:tx>
            <c:strRef>
              <c:f>'Ark1'!$B$1</c:f>
              <c:strCache>
                <c:ptCount val="1"/>
                <c:pt idx="0">
                  <c:v>Andel norsk privat emisjonskapital</c:v>
                </c:pt>
              </c:strCache>
            </c:strRef>
          </c:tx>
          <c:spPr>
            <a:solidFill>
              <a:srgbClr val="00B050"/>
            </a:solidFill>
            <a:ln w="12700">
              <a:solidFill>
                <a:schemeClr val="tx1"/>
              </a:solidFill>
            </a:ln>
            <a:effectLst/>
          </c:spPr>
          <c:invertIfNegative val="0"/>
          <c:dLbls>
            <c:dLbl>
              <c:idx val="0"/>
              <c:layout>
                <c:manualLayout>
                  <c:x val="2.8453549580309883E-3"/>
                  <c:y val="-9.36621916952862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7A-43AC-995B-52B782134B32}"/>
                </c:ext>
              </c:extLst>
            </c:dLbl>
            <c:dLbl>
              <c:idx val="1"/>
              <c:layout>
                <c:manualLayout>
                  <c:x val="2.8453549580309623E-3"/>
                  <c:y val="6.24414611301904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7A-43AC-995B-52B782134B32}"/>
                </c:ext>
              </c:extLst>
            </c:dLbl>
            <c:dLbl>
              <c:idx val="2"/>
              <c:layout>
                <c:manualLayout>
                  <c:x val="2.8453549580310144E-3"/>
                  <c:y val="3.12207305650952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7A-43AC-995B-52B782134B32}"/>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'Ark1'!$B$2:$B$5</c:f>
              <c:numCache>
                <c:formatCode>0.0\ %</c:formatCode>
                <c:ptCount val="4"/>
                <c:pt idx="0">
                  <c:v>0.93892572684356845</c:v>
                </c:pt>
                <c:pt idx="1">
                  <c:v>0.92231786745549804</c:v>
                </c:pt>
                <c:pt idx="2">
                  <c:v>0.83324448759338865</c:v>
                </c:pt>
                <c:pt idx="3">
                  <c:v>0.48901679202505743</c:v>
                </c:pt>
              </c:numCache>
            </c:numRef>
          </c:val>
          <c:extLst>
            <c:ext xmlns:c16="http://schemas.microsoft.com/office/drawing/2014/chart" uri="{C3380CC4-5D6E-409C-BE32-E72D297353CC}">
              <c16:uniqueId val="{00000003-5B7A-43AC-995B-52B782134B32}"/>
            </c:ext>
          </c:extLst>
        </c:ser>
        <c:ser>
          <c:idx val="1"/>
          <c:order val="1"/>
          <c:tx>
            <c:strRef>
              <c:f>'Ark1'!$C$1</c:f>
              <c:strCache>
                <c:ptCount val="1"/>
                <c:pt idx="0">
                  <c:v>Andel utenlandsk emisjonskapital</c:v>
                </c:pt>
              </c:strCache>
            </c:strRef>
          </c:tx>
          <c:spPr>
            <a:solidFill>
              <a:srgbClr val="0070C0"/>
            </a:solidFill>
            <a:ln w="12700">
              <a:solidFill>
                <a:schemeClr val="tx1"/>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'Ark1'!$C$2:$C$5</c:f>
              <c:numCache>
                <c:formatCode>0.0\ %</c:formatCode>
                <c:ptCount val="4"/>
                <c:pt idx="0">
                  <c:v>3.9136327803134918E-2</c:v>
                </c:pt>
                <c:pt idx="1">
                  <c:v>6.0993824154138565E-2</c:v>
                </c:pt>
                <c:pt idx="2">
                  <c:v>0.14189377427101135</c:v>
                </c:pt>
                <c:pt idx="3">
                  <c:v>0.37423199415206909</c:v>
                </c:pt>
              </c:numCache>
            </c:numRef>
          </c:val>
          <c:extLst>
            <c:ext xmlns:c16="http://schemas.microsoft.com/office/drawing/2014/chart" uri="{C3380CC4-5D6E-409C-BE32-E72D297353CC}">
              <c16:uniqueId val="{00000004-5B7A-43AC-995B-52B782134B32}"/>
            </c:ext>
          </c:extLst>
        </c:ser>
        <c:ser>
          <c:idx val="2"/>
          <c:order val="2"/>
          <c:tx>
            <c:strRef>
              <c:f>'Ark1'!$D$1</c:f>
              <c:strCache>
                <c:ptCount val="1"/>
                <c:pt idx="0">
                  <c:v>Andel statlig emisjonskapital</c:v>
                </c:pt>
              </c:strCache>
            </c:strRef>
          </c:tx>
          <c:spPr>
            <a:solidFill>
              <a:srgbClr val="00B0F0"/>
            </a:solidFill>
            <a:ln w="12700">
              <a:solidFill>
                <a:schemeClr val="tx1"/>
              </a:solidFill>
            </a:ln>
            <a:effectLst/>
          </c:spPr>
          <c:invertIfNegative val="0"/>
          <c:dLbls>
            <c:dLbl>
              <c:idx val="0"/>
              <c:layout>
                <c:manualLayout>
                  <c:x val="8.6374330497656041E-2"/>
                  <c:y val="-4.0509303950341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7A-43AC-995B-52B782134B32}"/>
                </c:ext>
              </c:extLst>
            </c:dLbl>
            <c:dLbl>
              <c:idx val="1"/>
              <c:layout>
                <c:manualLayout>
                  <c:x val="7.446483771931367E-2"/>
                  <c:y val="-3.3400049724777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7A-43AC-995B-52B782134B32}"/>
                </c:ext>
              </c:extLst>
            </c:dLbl>
            <c:dLbl>
              <c:idx val="2"/>
              <c:layout>
                <c:manualLayout>
                  <c:x val="6.40443392543774E-2"/>
                  <c:y val="-4.7511886027476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7A-43AC-995B-52B782134B32}"/>
                </c:ext>
              </c:extLst>
            </c:dLbl>
            <c:dLbl>
              <c:idx val="3"/>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6="http://schemas.microsoft.com/office/drawing/2014/chart" uri="{C3380CC4-5D6E-409C-BE32-E72D297353CC}">
                  <c16:uniqueId val="{00000008-5B7A-43AC-995B-52B782134B32}"/>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'Ark1'!$D$2:$D$5</c:f>
              <c:numCache>
                <c:formatCode>0.0\ %</c:formatCode>
                <c:ptCount val="4"/>
                <c:pt idx="0">
                  <c:v>2.1937946003429781E-2</c:v>
                </c:pt>
                <c:pt idx="1">
                  <c:v>1.6688308145218447E-2</c:v>
                </c:pt>
                <c:pt idx="2">
                  <c:v>2.4861738020328292E-2</c:v>
                </c:pt>
                <c:pt idx="3">
                  <c:v>0.13675122293530534</c:v>
                </c:pt>
              </c:numCache>
            </c:numRef>
          </c:val>
          <c:extLst>
            <c:ext xmlns:c16="http://schemas.microsoft.com/office/drawing/2014/chart" uri="{C3380CC4-5D6E-409C-BE32-E72D297353CC}">
              <c16:uniqueId val="{00000009-5B7A-43AC-995B-52B782134B32}"/>
            </c:ext>
          </c:extLst>
        </c:ser>
        <c:dLbls>
          <c:showLegendKey val="0"/>
          <c:showVal val="0"/>
          <c:showCatName val="0"/>
          <c:showSerName val="0"/>
          <c:showPercent val="0"/>
          <c:showBubbleSize val="0"/>
        </c:dLbls>
        <c:gapWidth val="50"/>
        <c:overlap val="100"/>
        <c:axId val="1776330960"/>
        <c:axId val="1907755616"/>
      </c:barChart>
      <c:catAx>
        <c:axId val="177633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crossAx val="1907755616"/>
        <c:crosses val="autoZero"/>
        <c:auto val="1"/>
        <c:lblAlgn val="ctr"/>
        <c:lblOffset val="100"/>
        <c:noMultiLvlLbl val="0"/>
      </c:catAx>
      <c:valAx>
        <c:axId val="1907755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crossAx val="177633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sz="800"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Utenlandsk emisjonskapital</c:v>
                </c:pt>
              </c:strCache>
            </c:strRef>
          </c:tx>
          <c:spPr>
            <a:solidFill>
              <a:srgbClr val="0070C0"/>
            </a:solidFill>
            <a:ln w="12700">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443-424F-ACF6-EB15EE8F630C}"/>
                </c:ext>
              </c:extLst>
            </c:dLbl>
            <c:dLbl>
              <c:idx val="1"/>
              <c:layout>
                <c:manualLayout>
                  <c:x val="-2.2331397945511387E-2"/>
                  <c:y val="-3.8218433044245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43-424F-ACF6-EB15EE8F630C}"/>
                </c:ext>
              </c:extLst>
            </c:dLbl>
            <c:dLbl>
              <c:idx val="2"/>
              <c:layout>
                <c:manualLayout>
                  <c:x val="0"/>
                  <c:y val="-2.3519035719535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43-424F-ACF6-EB15EE8F630C}"/>
                </c:ext>
              </c:extLst>
            </c:dLbl>
            <c:numFmt formatCode="#,##0.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'Ark1'!$B$2:$B$5</c:f>
              <c:numCache>
                <c:formatCode>_-* #,##0.0_-;\-* #,##0.0_-;_-* "-"??_-;_-@_-</c:formatCode>
                <c:ptCount val="4"/>
                <c:pt idx="0">
                  <c:v>17265588.36541748</c:v>
                </c:pt>
                <c:pt idx="1">
                  <c:v>90853565.394989014</c:v>
                </c:pt>
                <c:pt idx="2">
                  <c:v>564431244.12638283</c:v>
                </c:pt>
                <c:pt idx="3">
                  <c:v>13233514317.967308</c:v>
                </c:pt>
              </c:numCache>
            </c:numRef>
          </c:val>
          <c:extLst>
            <c:ext xmlns:c16="http://schemas.microsoft.com/office/drawing/2014/chart" uri="{C3380CC4-5D6E-409C-BE32-E72D297353CC}">
              <c16:uniqueId val="{00000003-B443-424F-ACF6-EB15EE8F630C}"/>
            </c:ext>
          </c:extLst>
        </c:ser>
        <c:ser>
          <c:idx val="1"/>
          <c:order val="1"/>
          <c:tx>
            <c:strRef>
              <c:f>'Ark1'!$C$1</c:f>
              <c:strCache>
                <c:ptCount val="1"/>
                <c:pt idx="0">
                  <c:v>Statlig emisjonskapital</c:v>
                </c:pt>
              </c:strCache>
            </c:strRef>
          </c:tx>
          <c:spPr>
            <a:solidFill>
              <a:srgbClr val="00B0F0"/>
            </a:solidFill>
            <a:ln w="12700">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B443-424F-ACF6-EB15EE8F630C}"/>
                </c:ext>
              </c:extLst>
            </c:dLbl>
            <c:numFmt formatCode="#,##0.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'Ark1'!$C$2:$C$5</c:f>
              <c:numCache>
                <c:formatCode>_-* #,##0.0_-;\-* #,##0.0_-;_-* "-"??_-;_-@_-</c:formatCode>
                <c:ptCount val="4"/>
                <c:pt idx="0">
                  <c:v>1314127.0965576172</c:v>
                </c:pt>
                <c:pt idx="1">
                  <c:v>6147688.2734375</c:v>
                </c:pt>
                <c:pt idx="2">
                  <c:v>69299763.220703125</c:v>
                </c:pt>
                <c:pt idx="3">
                  <c:v>808120390.703125</c:v>
                </c:pt>
              </c:numCache>
            </c:numRef>
          </c:val>
          <c:extLst>
            <c:ext xmlns:c16="http://schemas.microsoft.com/office/drawing/2014/chart" uri="{C3380CC4-5D6E-409C-BE32-E72D297353CC}">
              <c16:uniqueId val="{00000005-B443-424F-ACF6-EB15EE8F630C}"/>
            </c:ext>
          </c:extLst>
        </c:ser>
        <c:ser>
          <c:idx val="2"/>
          <c:order val="2"/>
          <c:tx>
            <c:strRef>
              <c:f>'Ark1'!$D$1</c:f>
              <c:strCache>
                <c:ptCount val="1"/>
                <c:pt idx="0">
                  <c:v>Norsk privat emisjonskapital</c:v>
                </c:pt>
              </c:strCache>
            </c:strRef>
          </c:tx>
          <c:spPr>
            <a:solidFill>
              <a:srgbClr val="00B050"/>
            </a:solidFill>
            <a:ln w="12700">
              <a:solidFill>
                <a:schemeClr val="tx1"/>
              </a:solidFill>
            </a:ln>
            <a:effectLst/>
          </c:spPr>
          <c:invertIfNegative val="0"/>
          <c:dLbls>
            <c:dLbl>
              <c:idx val="0"/>
              <c:layout>
                <c:manualLayout>
                  <c:x val="-5.8061634658329614E-2"/>
                  <c:y val="-5.87975892988387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43-424F-ACF6-EB15EE8F630C}"/>
                </c:ext>
              </c:extLst>
            </c:dLbl>
            <c:dLbl>
              <c:idx val="1"/>
              <c:layout>
                <c:manualLayout>
                  <c:x val="-1.3398838767306834E-2"/>
                  <c:y val="-4.115831250918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43-424F-ACF6-EB15EE8F630C}"/>
                </c:ext>
              </c:extLst>
            </c:dLbl>
            <c:numFmt formatCode="#,##0.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'Ark1'!$D$2:$D$5</c:f>
              <c:numCache>
                <c:formatCode>_-* #,##0.0_-;\-* #,##0.0_-;_-* "-"??_-;_-@_-</c:formatCode>
                <c:ptCount val="4"/>
                <c:pt idx="0">
                  <c:v>199716284.5380249</c:v>
                </c:pt>
                <c:pt idx="1">
                  <c:v>566774746.33157349</c:v>
                </c:pt>
                <c:pt idx="2">
                  <c:v>1645578936.652914</c:v>
                </c:pt>
                <c:pt idx="3">
                  <c:v>18441043339.329567</c:v>
                </c:pt>
              </c:numCache>
            </c:numRef>
          </c:val>
          <c:extLst>
            <c:ext xmlns:c16="http://schemas.microsoft.com/office/drawing/2014/chart" uri="{C3380CC4-5D6E-409C-BE32-E72D297353CC}">
              <c16:uniqueId val="{00000008-B443-424F-ACF6-EB15EE8F630C}"/>
            </c:ext>
          </c:extLst>
        </c:ser>
        <c:dLbls>
          <c:showLegendKey val="0"/>
          <c:showVal val="0"/>
          <c:showCatName val="0"/>
          <c:showSerName val="0"/>
          <c:showPercent val="0"/>
          <c:showBubbleSize val="0"/>
        </c:dLbls>
        <c:gapWidth val="75"/>
        <c:overlap val="-27"/>
        <c:axId val="1776669008"/>
        <c:axId val="1907736480"/>
      </c:barChart>
      <c:catAx>
        <c:axId val="177666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crossAx val="1907736480"/>
        <c:crosses val="autoZero"/>
        <c:auto val="1"/>
        <c:lblAlgn val="ctr"/>
        <c:lblOffset val="100"/>
        <c:noMultiLvlLbl val="0"/>
      </c:catAx>
      <c:valAx>
        <c:axId val="1907736480"/>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crossAx val="1776669008"/>
        <c:crosses val="autoZero"/>
        <c:crossBetween val="between"/>
        <c:dispUnits>
          <c:builtInUnit val="billions"/>
          <c:dispUnitsLbl>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sz="800"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24882804120231"/>
          <c:y val="5.879758929883875E-2"/>
          <c:w val="0.78562209647867265"/>
          <c:h val="0.71094040262459479"/>
        </c:manualLayout>
      </c:layout>
      <c:barChart>
        <c:barDir val="col"/>
        <c:grouping val="percentStacked"/>
        <c:varyColors val="0"/>
        <c:ser>
          <c:idx val="0"/>
          <c:order val="0"/>
          <c:tx>
            <c:strRef>
              <c:f>'Ark1'!$B$1</c:f>
              <c:strCache>
                <c:ptCount val="1"/>
                <c:pt idx="0">
                  <c:v>Andel norsk privat emisjonskapital</c:v>
                </c:pt>
              </c:strCache>
            </c:strRef>
          </c:tx>
          <c:spPr>
            <a:solidFill>
              <a:srgbClr val="00B050"/>
            </a:solidFill>
            <a:ln w="12700">
              <a:solidFill>
                <a:schemeClr val="tx1"/>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'Ark1'!$B$2:$B$5</c:f>
              <c:numCache>
                <c:formatCode>0.0\ %</c:formatCode>
                <c:ptCount val="4"/>
                <c:pt idx="0">
                  <c:v>0.91488751300081039</c:v>
                </c:pt>
                <c:pt idx="1">
                  <c:v>0.85386447586470959</c:v>
                </c:pt>
                <c:pt idx="2">
                  <c:v>0.72196365438789756</c:v>
                </c:pt>
                <c:pt idx="3">
                  <c:v>0.56771930294906847</c:v>
                </c:pt>
              </c:numCache>
            </c:numRef>
          </c:val>
          <c:extLst>
            <c:ext xmlns:c16="http://schemas.microsoft.com/office/drawing/2014/chart" uri="{C3380CC4-5D6E-409C-BE32-E72D297353CC}">
              <c16:uniqueId val="{00000000-82A4-4C16-B186-636801698BF7}"/>
            </c:ext>
          </c:extLst>
        </c:ser>
        <c:ser>
          <c:idx val="1"/>
          <c:order val="1"/>
          <c:tx>
            <c:strRef>
              <c:f>'Ark1'!$C$1</c:f>
              <c:strCache>
                <c:ptCount val="1"/>
                <c:pt idx="0">
                  <c:v>Andel utenlandsk emisjonskapital</c:v>
                </c:pt>
              </c:strCache>
            </c:strRef>
          </c:tx>
          <c:spPr>
            <a:solidFill>
              <a:srgbClr val="0070C0"/>
            </a:solidFill>
            <a:ln w="12700">
              <a:solidFill>
                <a:schemeClr val="tx1"/>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'Ark1'!$C$2:$C$5</c:f>
              <c:numCache>
                <c:formatCode>0.0\ %</c:formatCode>
                <c:ptCount val="4"/>
                <c:pt idx="0">
                  <c:v>7.9092554748058319E-2</c:v>
                </c:pt>
                <c:pt idx="1">
                  <c:v>0.13687382638454437</c:v>
                </c:pt>
                <c:pt idx="2">
                  <c:v>0.24763250350952148</c:v>
                </c:pt>
                <c:pt idx="3">
                  <c:v>0.40740218758583069</c:v>
                </c:pt>
              </c:numCache>
            </c:numRef>
          </c:val>
          <c:extLst>
            <c:ext xmlns:c16="http://schemas.microsoft.com/office/drawing/2014/chart" uri="{C3380CC4-5D6E-409C-BE32-E72D297353CC}">
              <c16:uniqueId val="{00000001-82A4-4C16-B186-636801698BF7}"/>
            </c:ext>
          </c:extLst>
        </c:ser>
        <c:ser>
          <c:idx val="2"/>
          <c:order val="2"/>
          <c:tx>
            <c:strRef>
              <c:f>'Ark1'!$D$1</c:f>
              <c:strCache>
                <c:ptCount val="1"/>
                <c:pt idx="0">
                  <c:v>Andel statlig emisjonskapital</c:v>
                </c:pt>
              </c:strCache>
            </c:strRef>
          </c:tx>
          <c:spPr>
            <a:solidFill>
              <a:srgbClr val="00B0F0"/>
            </a:solidFill>
            <a:ln w="12700">
              <a:solidFill>
                <a:schemeClr val="tx1"/>
              </a:solidFill>
            </a:ln>
            <a:effectLst/>
          </c:spPr>
          <c:invertIfNegative val="0"/>
          <c:dLbls>
            <c:dLbl>
              <c:idx val="0"/>
              <c:layout>
                <c:manualLayout>
                  <c:x val="7.1486497416943032E-2"/>
                  <c:y val="-2.7503845570678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A4-4C16-B186-636801698BF7}"/>
                </c:ext>
              </c:extLst>
            </c:dLbl>
            <c:dLbl>
              <c:idx val="1"/>
              <c:layout>
                <c:manualLayout>
                  <c:x val="5.0645500487070651E-2"/>
                  <c:y val="-3.044372503562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A4-4C16-B186-636801698BF7}"/>
                </c:ext>
              </c:extLst>
            </c:dLbl>
            <c:dLbl>
              <c:idx val="2"/>
              <c:layout>
                <c:manualLayout>
                  <c:x val="2.9802041828290892E-2"/>
                  <c:y val="-4.4293335154361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A4-4C16-B186-636801698BF7}"/>
                </c:ext>
              </c:extLst>
            </c:dLbl>
            <c:dLbl>
              <c:idx val="3"/>
              <c:layout>
                <c:manualLayout>
                  <c:x val="3.2777568726195958E-2"/>
                  <c:y val="-3.0248581855388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A4-4C16-B186-636801698BF7}"/>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'Ark1'!$D$2:$D$5</c:f>
              <c:numCache>
                <c:formatCode>0.0\ %</c:formatCode>
                <c:ptCount val="4"/>
                <c:pt idx="0">
                  <c:v>6.019932094759488E-3</c:v>
                </c:pt>
                <c:pt idx="1">
                  <c:v>9.2616911027778945E-3</c:v>
                </c:pt>
                <c:pt idx="2">
                  <c:v>3.0403834898858811E-2</c:v>
                </c:pt>
                <c:pt idx="3">
                  <c:v>2.4878502613268429E-2</c:v>
                </c:pt>
              </c:numCache>
            </c:numRef>
          </c:val>
          <c:extLst>
            <c:ext xmlns:c16="http://schemas.microsoft.com/office/drawing/2014/chart" uri="{C3380CC4-5D6E-409C-BE32-E72D297353CC}">
              <c16:uniqueId val="{00000006-82A4-4C16-B186-636801698BF7}"/>
            </c:ext>
          </c:extLst>
        </c:ser>
        <c:dLbls>
          <c:showLegendKey val="0"/>
          <c:showVal val="0"/>
          <c:showCatName val="0"/>
          <c:showSerName val="0"/>
          <c:showPercent val="0"/>
          <c:showBubbleSize val="0"/>
        </c:dLbls>
        <c:gapWidth val="50"/>
        <c:overlap val="100"/>
        <c:axId val="1532329072"/>
        <c:axId val="1907732320"/>
      </c:barChart>
      <c:catAx>
        <c:axId val="153232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crossAx val="1907732320"/>
        <c:crosses val="autoZero"/>
        <c:auto val="1"/>
        <c:lblAlgn val="ctr"/>
        <c:lblOffset val="100"/>
        <c:noMultiLvlLbl val="0"/>
      </c:catAx>
      <c:valAx>
        <c:axId val="1907732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crossAx val="153232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sz="800"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Utenlandsk emisjonsvolum, gjennomsnitt 2012-2015</c:v>
                </c:pt>
              </c:strCache>
            </c:strRef>
          </c:tx>
          <c:spPr>
            <a:solidFill>
              <a:schemeClr val="accent5"/>
            </a:solidFill>
            <a:ln w="12700">
              <a:solidFill>
                <a:sysClr val="windowText" lastClr="000000"/>
              </a:solidFill>
            </a:ln>
            <a:effectLst/>
          </c:spPr>
          <c:invertIfNegative val="0"/>
          <c:dLbls>
            <c:dLbl>
              <c:idx val="0"/>
              <c:layout>
                <c:manualLayout>
                  <c:x val="-7.3664825046040744E-3"/>
                  <c:y val="-3.0441400304414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04-42DA-BF0E-4B2D2E38FC4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'Ark1'!$B$2:$B$5</c:f>
              <c:numCache>
                <c:formatCode>_(* #,##0.00_);_(* \(#,##0.00\);_(* "-"??_);_(@_)</c:formatCode>
                <c:ptCount val="4"/>
                <c:pt idx="0">
                  <c:v>55000000</c:v>
                </c:pt>
                <c:pt idx="1">
                  <c:v>280000000</c:v>
                </c:pt>
                <c:pt idx="2">
                  <c:v>741000000</c:v>
                </c:pt>
                <c:pt idx="3">
                  <c:v>3393000000</c:v>
                </c:pt>
              </c:numCache>
            </c:numRef>
          </c:val>
          <c:extLst>
            <c:ext xmlns:c16="http://schemas.microsoft.com/office/drawing/2014/chart" uri="{C3380CC4-5D6E-409C-BE32-E72D297353CC}">
              <c16:uniqueId val="{00000001-7004-42DA-BF0E-4B2D2E38FC42}"/>
            </c:ext>
          </c:extLst>
        </c:ser>
        <c:ser>
          <c:idx val="1"/>
          <c:order val="1"/>
          <c:tx>
            <c:strRef>
              <c:f>'Ark1'!$C$1</c:f>
              <c:strCache>
                <c:ptCount val="1"/>
                <c:pt idx="0">
                  <c:v>Statlig emisjonsvolum, gjennomsnitt 2012-2015</c:v>
                </c:pt>
              </c:strCache>
            </c:strRef>
          </c:tx>
          <c:spPr>
            <a:solidFill>
              <a:srgbClr val="00B0F0"/>
            </a:solidFill>
            <a:ln w="12700">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'Ark1'!$C$2:$C$5</c:f>
              <c:numCache>
                <c:formatCode>_(* #,##0.00_);_(* \(#,##0.00\);_(* "-"??_);_(@_)</c:formatCode>
                <c:ptCount val="4"/>
                <c:pt idx="0">
                  <c:v>10000000</c:v>
                </c:pt>
                <c:pt idx="1">
                  <c:v>41000000</c:v>
                </c:pt>
                <c:pt idx="2">
                  <c:v>127000000</c:v>
                </c:pt>
                <c:pt idx="3">
                  <c:v>426000000</c:v>
                </c:pt>
              </c:numCache>
            </c:numRef>
          </c:val>
          <c:extLst>
            <c:ext xmlns:c16="http://schemas.microsoft.com/office/drawing/2014/chart" uri="{C3380CC4-5D6E-409C-BE32-E72D297353CC}">
              <c16:uniqueId val="{00000002-7004-42DA-BF0E-4B2D2E38FC42}"/>
            </c:ext>
          </c:extLst>
        </c:ser>
        <c:ser>
          <c:idx val="2"/>
          <c:order val="2"/>
          <c:tx>
            <c:strRef>
              <c:f>'Ark1'!$D$1</c:f>
              <c:strCache>
                <c:ptCount val="1"/>
                <c:pt idx="0">
                  <c:v>Norsk privat emisjonsvolum, gjennomsnitt 2012-2015</c:v>
                </c:pt>
              </c:strCache>
            </c:strRef>
          </c:tx>
          <c:spPr>
            <a:solidFill>
              <a:srgbClr val="00B050"/>
            </a:solidFill>
            <a:ln w="12700">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'Ark1'!$D$2:$D$5</c:f>
              <c:numCache>
                <c:formatCode>_(* #,##0.00_);_(* \(#,##0.00\);_(* "-"??_);_(@_)</c:formatCode>
                <c:ptCount val="4"/>
                <c:pt idx="0">
                  <c:v>578000000</c:v>
                </c:pt>
                <c:pt idx="1">
                  <c:v>1708000000</c:v>
                </c:pt>
                <c:pt idx="2">
                  <c:v>3894000000</c:v>
                </c:pt>
                <c:pt idx="3">
                  <c:v>6631000000</c:v>
                </c:pt>
              </c:numCache>
            </c:numRef>
          </c:val>
          <c:extLst>
            <c:ext xmlns:c16="http://schemas.microsoft.com/office/drawing/2014/chart" uri="{C3380CC4-5D6E-409C-BE32-E72D297353CC}">
              <c16:uniqueId val="{00000003-7004-42DA-BF0E-4B2D2E38FC42}"/>
            </c:ext>
          </c:extLst>
        </c:ser>
        <c:dLbls>
          <c:showLegendKey val="0"/>
          <c:showVal val="0"/>
          <c:showCatName val="0"/>
          <c:showSerName val="0"/>
          <c:showPercent val="0"/>
          <c:showBubbleSize val="0"/>
        </c:dLbls>
        <c:gapWidth val="219"/>
        <c:overlap val="-27"/>
        <c:axId val="241818240"/>
        <c:axId val="628684960"/>
      </c:barChart>
      <c:catAx>
        <c:axId val="24181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crossAx val="628684960"/>
        <c:crosses val="autoZero"/>
        <c:auto val="1"/>
        <c:lblAlgn val="ctr"/>
        <c:lblOffset val="100"/>
        <c:noMultiLvlLbl val="0"/>
      </c:catAx>
      <c:valAx>
        <c:axId val="628684960"/>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241818240"/>
        <c:crosses val="autoZero"/>
        <c:crossBetween val="between"/>
        <c:dispUnits>
          <c:builtInUnit val="billions"/>
          <c:dispUnitsLbl>
            <c:layout>
              <c:manualLayout>
                <c:xMode val="edge"/>
                <c:yMode val="edge"/>
                <c:x val="5.2620419187932276E-3"/>
                <c:y val="0.27830255268772319"/>
              </c:manualLayout>
            </c:layout>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47761635429374"/>
          <c:y val="8.7546492585862667E-2"/>
          <c:w val="0.81175834534767666"/>
          <c:h val="0.72883325481750683"/>
        </c:manualLayout>
      </c:layout>
      <c:barChart>
        <c:barDir val="bar"/>
        <c:grouping val="percentStacked"/>
        <c:varyColors val="0"/>
        <c:ser>
          <c:idx val="0"/>
          <c:order val="0"/>
          <c:tx>
            <c:strRef>
              <c:f>'Ark1'!$B$1</c:f>
              <c:strCache>
                <c:ptCount val="1"/>
                <c:pt idx="0">
                  <c:v>Gjennomsnittsandel utenlandsk, 2012-2015</c:v>
                </c:pt>
              </c:strCache>
            </c:strRef>
          </c:tx>
          <c:spPr>
            <a:solidFill>
              <a:srgbClr val="0F6FC6"/>
            </a:solidFill>
            <a:ln w="12700">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'Ark1'!$B$2:$B$5</c:f>
              <c:numCache>
                <c:formatCode>0.0\ %</c:formatCode>
                <c:ptCount val="4"/>
                <c:pt idx="0">
                  <c:v>8.6802477442684822E-2</c:v>
                </c:pt>
                <c:pt idx="1">
                  <c:v>0.14223797923722198</c:v>
                </c:pt>
                <c:pt idx="2">
                  <c:v>0.15734446337679672</c:v>
                </c:pt>
                <c:pt idx="3">
                  <c:v>0.19096211473416003</c:v>
                </c:pt>
              </c:numCache>
            </c:numRef>
          </c:val>
          <c:extLst>
            <c:ext xmlns:c16="http://schemas.microsoft.com/office/drawing/2014/chart" uri="{C3380CC4-5D6E-409C-BE32-E72D297353CC}">
              <c16:uniqueId val="{00000000-B821-4985-A281-C9D6C9319EDD}"/>
            </c:ext>
          </c:extLst>
        </c:ser>
        <c:ser>
          <c:idx val="1"/>
          <c:order val="1"/>
          <c:tx>
            <c:strRef>
              <c:f>'Ark1'!$C$1</c:f>
              <c:strCache>
                <c:ptCount val="1"/>
                <c:pt idx="0">
                  <c:v>Gjennomsnittsandel statlig, 2012-2015</c:v>
                </c:pt>
              </c:strCache>
            </c:strRef>
          </c:tx>
          <c:spPr>
            <a:solidFill>
              <a:srgbClr val="0BD0D9"/>
            </a:solidFill>
            <a:ln w="12700">
              <a:solidFill>
                <a:sysClr val="windowText" lastClr="000000"/>
              </a:solidFill>
            </a:ln>
            <a:effectLst/>
          </c:spPr>
          <c:invertIfNegative val="0"/>
          <c:dLbls>
            <c:dLbl>
              <c:idx val="0"/>
              <c:layout>
                <c:manualLayout>
                  <c:x val="3.0840131996647986E-2"/>
                  <c:y val="6.8151624203715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21-4985-A281-C9D6C9319EDD}"/>
                </c:ext>
              </c:extLst>
            </c:dLbl>
            <c:dLbl>
              <c:idx val="1"/>
              <c:layout>
                <c:manualLayout>
                  <c:x val="4.6727472722193917E-3"/>
                  <c:y val="7.9510228237668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21-4985-A281-C9D6C9319EDD}"/>
                </c:ext>
              </c:extLst>
            </c:dLbl>
            <c:dLbl>
              <c:idx val="2"/>
              <c:layout>
                <c:manualLayout>
                  <c:x val="-1.0280043998882661E-2"/>
                  <c:y val="6.6528966484579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21-4985-A281-C9D6C9319EDD}"/>
                </c:ext>
              </c:extLst>
            </c:dLbl>
            <c:dLbl>
              <c:idx val="3"/>
              <c:layout>
                <c:manualLayout>
                  <c:x val="0"/>
                  <c:y val="8.4378201395076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21-4985-A281-C9D6C9319EDD}"/>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'Ark1'!$C$2:$C$5</c:f>
              <c:numCache>
                <c:formatCode>0.0\ %</c:formatCode>
                <c:ptCount val="4"/>
                <c:pt idx="0">
                  <c:v>1.6479043089274999E-2</c:v>
                </c:pt>
                <c:pt idx="1">
                  <c:v>2.1034602333705372E-2</c:v>
                </c:pt>
                <c:pt idx="2">
                  <c:v>2.5843331500828133E-2</c:v>
                </c:pt>
                <c:pt idx="3">
                  <c:v>2.1195939644920732E-2</c:v>
                </c:pt>
              </c:numCache>
            </c:numRef>
          </c:val>
          <c:extLst>
            <c:ext xmlns:c16="http://schemas.microsoft.com/office/drawing/2014/chart" uri="{C3380CC4-5D6E-409C-BE32-E72D297353CC}">
              <c16:uniqueId val="{00000005-B821-4985-A281-C9D6C9319EDD}"/>
            </c:ext>
          </c:extLst>
        </c:ser>
        <c:ser>
          <c:idx val="2"/>
          <c:order val="2"/>
          <c:tx>
            <c:strRef>
              <c:f>'Ark1'!$D$1</c:f>
              <c:strCache>
                <c:ptCount val="1"/>
                <c:pt idx="0">
                  <c:v>Gjennomsnittsandel norsk privat, 2012-2015</c:v>
                </c:pt>
              </c:strCache>
            </c:strRef>
          </c:tx>
          <c:spPr>
            <a:solidFill>
              <a:srgbClr val="00B050"/>
            </a:solidFill>
            <a:ln w="12700">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'Ark1'!$D$2:$D$5</c:f>
              <c:numCache>
                <c:formatCode>0.0\ %</c:formatCode>
                <c:ptCount val="4"/>
                <c:pt idx="0">
                  <c:v>0.89671847946804006</c:v>
                </c:pt>
                <c:pt idx="1">
                  <c:v>0.83672741842907272</c:v>
                </c:pt>
                <c:pt idx="2">
                  <c:v>0.81681220512237507</c:v>
                </c:pt>
                <c:pt idx="3">
                  <c:v>0.78784194562091925</c:v>
                </c:pt>
              </c:numCache>
            </c:numRef>
          </c:val>
          <c:extLst>
            <c:ext xmlns:c16="http://schemas.microsoft.com/office/drawing/2014/chart" uri="{C3380CC4-5D6E-409C-BE32-E72D297353CC}">
              <c16:uniqueId val="{00000006-B821-4985-A281-C9D6C9319EDD}"/>
            </c:ext>
          </c:extLst>
        </c:ser>
        <c:dLbls>
          <c:showLegendKey val="0"/>
          <c:showVal val="0"/>
          <c:showCatName val="0"/>
          <c:showSerName val="0"/>
          <c:showPercent val="0"/>
          <c:showBubbleSize val="0"/>
        </c:dLbls>
        <c:gapWidth val="150"/>
        <c:overlap val="100"/>
        <c:axId val="1067416735"/>
        <c:axId val="1083173199"/>
      </c:barChart>
      <c:valAx>
        <c:axId val="108317319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crossAx val="1067416735"/>
        <c:crosses val="autoZero"/>
        <c:crossBetween val="between"/>
      </c:valAx>
      <c:catAx>
        <c:axId val="1067416735"/>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crossAx val="1083173199"/>
        <c:crosses val="autoZero"/>
        <c:auto val="1"/>
        <c:lblAlgn val="ctr"/>
        <c:lblOffset val="100"/>
        <c:noMultiLvlLbl val="0"/>
      </c:catAx>
      <c:spPr>
        <a:noFill/>
        <a:ln>
          <a:noFill/>
        </a:ln>
        <a:effectLst/>
      </c:spPr>
    </c:plotArea>
    <c:legend>
      <c:legendPos val="b"/>
      <c:layout>
        <c:manualLayout>
          <c:xMode val="edge"/>
          <c:yMode val="edge"/>
          <c:x val="1.8115031205044027E-2"/>
          <c:y val="0.842943741611342"/>
          <c:w val="0.95116326028043385"/>
          <c:h val="0.156483294645105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aseline="0">
          <a:solidFill>
            <a:schemeClr val="tx1"/>
          </a:solidFill>
        </a:defRPr>
      </a:pPr>
      <a:endParaRPr lang="nb-N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12397752988016E-2"/>
          <c:y val="4.3650793650793648E-2"/>
          <c:w val="0.41250734757417007"/>
          <c:h val="0.91269841269841268"/>
        </c:manualLayout>
      </c:layout>
      <c:barChart>
        <c:barDir val="col"/>
        <c:grouping val="stacked"/>
        <c:varyColors val="0"/>
        <c:ser>
          <c:idx val="0"/>
          <c:order val="0"/>
          <c:tx>
            <c:strRef>
              <c:f>'Ark1'!$B$1</c:f>
              <c:strCache>
                <c:ptCount val="1"/>
                <c:pt idx="0">
                  <c:v>Estimert inntektsskatt utenom formuesskatt og utbytteskatt</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Kategori 1</c:v>
                </c:pt>
              </c:strCache>
            </c:strRef>
          </c:cat>
          <c:val>
            <c:numRef>
              <c:f>'Ark1'!$B$2</c:f>
              <c:numCache>
                <c:formatCode>General</c:formatCode>
                <c:ptCount val="1"/>
                <c:pt idx="0">
                  <c:v>72.8</c:v>
                </c:pt>
              </c:numCache>
            </c:numRef>
          </c:val>
          <c:extLst>
            <c:ext xmlns:c16="http://schemas.microsoft.com/office/drawing/2014/chart" uri="{C3380CC4-5D6E-409C-BE32-E72D297353CC}">
              <c16:uniqueId val="{00000000-3DCB-40CE-9CC0-05397FC9D3F1}"/>
            </c:ext>
          </c:extLst>
        </c:ser>
        <c:ser>
          <c:idx val="1"/>
          <c:order val="1"/>
          <c:tx>
            <c:strRef>
              <c:f>'Ark1'!$C$1</c:f>
              <c:strCache>
                <c:ptCount val="1"/>
                <c:pt idx="0">
                  <c:v>Estimert utbytteskatt</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Kategori 1</c:v>
                </c:pt>
              </c:strCache>
            </c:strRef>
          </c:cat>
          <c:val>
            <c:numRef>
              <c:f>'Ark1'!$C$2</c:f>
              <c:numCache>
                <c:formatCode>General</c:formatCode>
                <c:ptCount val="1"/>
                <c:pt idx="0">
                  <c:v>10</c:v>
                </c:pt>
              </c:numCache>
            </c:numRef>
          </c:val>
          <c:extLst>
            <c:ext xmlns:c16="http://schemas.microsoft.com/office/drawing/2014/chart" uri="{C3380CC4-5D6E-409C-BE32-E72D297353CC}">
              <c16:uniqueId val="{00000001-3DCB-40CE-9CC0-05397FC9D3F1}"/>
            </c:ext>
          </c:extLst>
        </c:ser>
        <c:ser>
          <c:idx val="2"/>
          <c:order val="2"/>
          <c:tx>
            <c:strRef>
              <c:f>'Ark1'!$D$1</c:f>
              <c:strCache>
                <c:ptCount val="1"/>
                <c:pt idx="0">
                  <c:v>Estimert formuesskatt på private aktiva</c:v>
                </c:pt>
              </c:strCache>
            </c:strRef>
          </c:tx>
          <c:spPr>
            <a:solidFill>
              <a:schemeClr val="accent6">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Kategori 1</c:v>
                </c:pt>
              </c:strCache>
            </c:strRef>
          </c:cat>
          <c:val>
            <c:numRef>
              <c:f>'Ark1'!$D$2</c:f>
              <c:numCache>
                <c:formatCode>General</c:formatCode>
                <c:ptCount val="1"/>
                <c:pt idx="0">
                  <c:v>4.4000000000000004</c:v>
                </c:pt>
              </c:numCache>
            </c:numRef>
          </c:val>
          <c:extLst>
            <c:ext xmlns:c16="http://schemas.microsoft.com/office/drawing/2014/chart" uri="{C3380CC4-5D6E-409C-BE32-E72D297353CC}">
              <c16:uniqueId val="{00000002-3DCB-40CE-9CC0-05397FC9D3F1}"/>
            </c:ext>
          </c:extLst>
        </c:ser>
        <c:ser>
          <c:idx val="3"/>
          <c:order val="3"/>
          <c:tx>
            <c:strRef>
              <c:f>'Ark1'!$E$1</c:f>
              <c:strCache>
                <c:ptCount val="1"/>
                <c:pt idx="0">
                  <c:v>Estimert formuesskatt på arbeidende kapital</c:v>
                </c:pt>
              </c:strCache>
            </c:strRef>
          </c:tx>
          <c:spPr>
            <a:solidFill>
              <a:srgbClr val="FF0000"/>
            </a:solidFill>
            <a:ln>
              <a:solidFill>
                <a:schemeClr val="tx1"/>
              </a:solidFill>
            </a:ln>
            <a:effectLst/>
          </c:spPr>
          <c:invertIfNegative val="0"/>
          <c:dLbls>
            <c:dLbl>
              <c:idx val="0"/>
              <c:layout>
                <c:manualLayout>
                  <c:x val="-4.0233353450010055E-3"/>
                  <c:y val="-5.8555627846454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CB-40CE-9CC0-05397FC9D3F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Kategori 1</c:v>
                </c:pt>
              </c:strCache>
            </c:strRef>
          </c:cat>
          <c:val>
            <c:numRef>
              <c:f>'Ark1'!$E$2</c:f>
              <c:numCache>
                <c:formatCode>General</c:formatCode>
                <c:ptCount val="1"/>
                <c:pt idx="0">
                  <c:v>3</c:v>
                </c:pt>
              </c:numCache>
            </c:numRef>
          </c:val>
          <c:extLst>
            <c:ext xmlns:c16="http://schemas.microsoft.com/office/drawing/2014/chart" uri="{C3380CC4-5D6E-409C-BE32-E72D297353CC}">
              <c16:uniqueId val="{00000003-3DCB-40CE-9CC0-05397FC9D3F1}"/>
            </c:ext>
          </c:extLst>
        </c:ser>
        <c:dLbls>
          <c:showLegendKey val="0"/>
          <c:showVal val="0"/>
          <c:showCatName val="0"/>
          <c:showSerName val="0"/>
          <c:showPercent val="0"/>
          <c:showBubbleSize val="0"/>
        </c:dLbls>
        <c:gapWidth val="150"/>
        <c:overlap val="100"/>
        <c:axId val="162883376"/>
        <c:axId val="1096289440"/>
      </c:barChart>
      <c:catAx>
        <c:axId val="162883376"/>
        <c:scaling>
          <c:orientation val="minMax"/>
        </c:scaling>
        <c:delete val="1"/>
        <c:axPos val="b"/>
        <c:numFmt formatCode="General" sourceLinked="1"/>
        <c:majorTickMark val="none"/>
        <c:minorTickMark val="none"/>
        <c:tickLblPos val="nextTo"/>
        <c:crossAx val="1096289440"/>
        <c:crosses val="autoZero"/>
        <c:auto val="1"/>
        <c:lblAlgn val="ctr"/>
        <c:lblOffset val="100"/>
        <c:noMultiLvlLbl val="0"/>
      </c:catAx>
      <c:valAx>
        <c:axId val="109628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62883376"/>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700" b="1" i="0" u="none" strike="noStrike" kern="1200" baseline="0">
                <a:solidFill>
                  <a:schemeClr val="tx1"/>
                </a:solidFill>
                <a:latin typeface="Century Gothic" panose="020B0502020202020204" pitchFamily="34" charset="0"/>
                <a:ea typeface="+mn-ea"/>
                <a:cs typeface="+mn-cs"/>
              </a:defRPr>
            </a:pPr>
            <a:endParaRPr lang="nb-NO"/>
          </a:p>
        </c:txPr>
      </c:legendEntry>
      <c:legendEntry>
        <c:idx val="1"/>
        <c:txPr>
          <a:bodyPr rot="0" spcFirstLastPara="1" vertOverflow="ellipsis" vert="horz" wrap="square" anchor="ctr" anchorCtr="1"/>
          <a:lstStyle/>
          <a:p>
            <a:pPr>
              <a:defRPr sz="700" b="1" i="0" u="none" strike="noStrike" kern="1200" baseline="0">
                <a:solidFill>
                  <a:schemeClr val="tx1"/>
                </a:solidFill>
                <a:latin typeface="Century Gothic" panose="020B0502020202020204" pitchFamily="34" charset="0"/>
                <a:ea typeface="+mn-ea"/>
                <a:cs typeface="+mn-cs"/>
              </a:defRPr>
            </a:pPr>
            <a:endParaRPr lang="nb-NO"/>
          </a:p>
        </c:txPr>
      </c:legendEntry>
      <c:legendEntry>
        <c:idx val="2"/>
        <c:txPr>
          <a:bodyPr rot="0" spcFirstLastPara="1" vertOverflow="ellipsis" vert="horz" wrap="square" anchor="ctr" anchorCtr="1"/>
          <a:lstStyle/>
          <a:p>
            <a:pPr>
              <a:defRPr sz="700" b="1" i="0" u="none" strike="noStrike" kern="1200" baseline="0">
                <a:solidFill>
                  <a:schemeClr val="tx1"/>
                </a:solidFill>
                <a:latin typeface="Century Gothic" panose="020B0502020202020204" pitchFamily="34" charset="0"/>
                <a:ea typeface="+mn-ea"/>
                <a:cs typeface="+mn-cs"/>
              </a:defRPr>
            </a:pPr>
            <a:endParaRPr lang="nb-NO"/>
          </a:p>
        </c:txPr>
      </c:legendEntry>
      <c:legendEntry>
        <c:idx val="3"/>
        <c:txPr>
          <a:bodyPr rot="0" spcFirstLastPara="1" vertOverflow="ellipsis" vert="horz" wrap="square" anchor="ctr" anchorCtr="1"/>
          <a:lstStyle/>
          <a:p>
            <a:pPr>
              <a:defRPr sz="700" b="1" i="0" u="none" strike="noStrike" kern="1200" baseline="0">
                <a:solidFill>
                  <a:schemeClr val="tx1"/>
                </a:solidFill>
                <a:latin typeface="Century Gothic" panose="020B0502020202020204" pitchFamily="34" charset="0"/>
                <a:ea typeface="+mn-ea"/>
                <a:cs typeface="+mn-cs"/>
              </a:defRPr>
            </a:pPr>
            <a:endParaRPr lang="nb-NO"/>
          </a:p>
        </c:txPr>
      </c:legendEntry>
      <c:layout>
        <c:manualLayout>
          <c:xMode val="edge"/>
          <c:yMode val="edge"/>
          <c:x val="0.6190405137197319"/>
          <c:y val="2.3043823840006843E-2"/>
          <c:w val="0.34896731752827825"/>
          <c:h val="0.8764088003440518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640345951780902E-2"/>
          <c:y val="4.3650793650793648E-2"/>
          <c:w val="0.91471914269422794"/>
          <c:h val="0.73011529808773901"/>
        </c:manualLayout>
      </c:layout>
      <c:barChart>
        <c:barDir val="col"/>
        <c:grouping val="percentStacked"/>
        <c:varyColors val="0"/>
        <c:ser>
          <c:idx val="0"/>
          <c:order val="0"/>
          <c:tx>
            <c:strRef>
              <c:f>'Ark1'!$B$1</c:f>
              <c:strCache>
                <c:ptCount val="1"/>
                <c:pt idx="0">
                  <c:v>Utenlandskontrollerte foretak</c:v>
                </c:pt>
              </c:strCache>
            </c:strRef>
          </c:tx>
          <c:spPr>
            <a:solidFill>
              <a:schemeClr val="accent1"/>
            </a:solidFill>
            <a:ln w="3175">
              <a:solidFill>
                <a:schemeClr val="tx1"/>
              </a:solidFill>
            </a:ln>
            <a:effectLst/>
          </c:spPr>
          <c:invertIfNegative val="0"/>
          <c:dLbls>
            <c:dLbl>
              <c:idx val="0"/>
              <c:layout>
                <c:manualLayout>
                  <c:x val="6.4607496202278195E-2"/>
                  <c:y val="-7.968402663493430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3F-4376-86FD-7C05BACC874A}"/>
                </c:ext>
              </c:extLst>
            </c:dLbl>
            <c:dLbl>
              <c:idx val="1"/>
              <c:layout>
                <c:manualLayout>
                  <c:x val="1.1055831951354339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3F-4376-86FD-7C05BACC874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1-4 ansatte</c:v>
                </c:pt>
                <c:pt idx="1">
                  <c:v>5-9 ansatte</c:v>
                </c:pt>
                <c:pt idx="2">
                  <c:v>10-19 ansatte</c:v>
                </c:pt>
                <c:pt idx="3">
                  <c:v>20-49 ansatte</c:v>
                </c:pt>
                <c:pt idx="4">
                  <c:v>50-99 ansatte</c:v>
                </c:pt>
                <c:pt idx="5">
                  <c:v>100-249 ansatte</c:v>
                </c:pt>
                <c:pt idx="6">
                  <c:v>250+ ansatte</c:v>
                </c:pt>
              </c:strCache>
            </c:strRef>
          </c:cat>
          <c:val>
            <c:numRef>
              <c:f>'Ark1'!$B$2:$B$8</c:f>
              <c:numCache>
                <c:formatCode>0.0\ %</c:formatCode>
                <c:ptCount val="7"/>
                <c:pt idx="0">
                  <c:v>1.4431543443870699E-2</c:v>
                </c:pt>
                <c:pt idx="1">
                  <c:v>4.1618031797142283E-2</c:v>
                </c:pt>
                <c:pt idx="2">
                  <c:v>6.1523899668717463E-2</c:v>
                </c:pt>
                <c:pt idx="3">
                  <c:v>0.10772383758165749</c:v>
                </c:pt>
                <c:pt idx="4">
                  <c:v>0.19615204129516658</c:v>
                </c:pt>
                <c:pt idx="5">
                  <c:v>0.28631756756756754</c:v>
                </c:pt>
                <c:pt idx="6">
                  <c:v>0.45310015898251194</c:v>
                </c:pt>
              </c:numCache>
            </c:numRef>
          </c:val>
          <c:extLst>
            <c:ext xmlns:c16="http://schemas.microsoft.com/office/drawing/2014/chart" uri="{C3380CC4-5D6E-409C-BE32-E72D297353CC}">
              <c16:uniqueId val="{00000002-F23F-4376-86FD-7C05BACC874A}"/>
            </c:ext>
          </c:extLst>
        </c:ser>
        <c:ser>
          <c:idx val="1"/>
          <c:order val="1"/>
          <c:tx>
            <c:strRef>
              <c:f>'Ark1'!$C$1</c:f>
              <c:strCache>
                <c:ptCount val="1"/>
                <c:pt idx="0">
                  <c:v>Norskkontrollert, ikke utenlandsk datterselskap</c:v>
                </c:pt>
              </c:strCache>
            </c:strRef>
          </c:tx>
          <c:spPr>
            <a:solidFill>
              <a:srgbClr val="00B050"/>
            </a:solidFill>
            <a:ln w="3175">
              <a:solidFill>
                <a:schemeClr val="tx1"/>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3F-4376-86FD-7C05BACC874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3F-4376-86FD-7C05BACC874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3F-4376-86FD-7C05BACC874A}"/>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3F-4376-86FD-7C05BACC874A}"/>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3F-4376-86FD-7C05BACC874A}"/>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3F-4376-86FD-7C05BACC874A}"/>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23F-4376-86FD-7C05BACC874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1-4 ansatte</c:v>
                </c:pt>
                <c:pt idx="1">
                  <c:v>5-9 ansatte</c:v>
                </c:pt>
                <c:pt idx="2">
                  <c:v>10-19 ansatte</c:v>
                </c:pt>
                <c:pt idx="3">
                  <c:v>20-49 ansatte</c:v>
                </c:pt>
                <c:pt idx="4">
                  <c:v>50-99 ansatte</c:v>
                </c:pt>
                <c:pt idx="5">
                  <c:v>100-249 ansatte</c:v>
                </c:pt>
                <c:pt idx="6">
                  <c:v>250+ ansatte</c:v>
                </c:pt>
              </c:strCache>
            </c:strRef>
          </c:cat>
          <c:val>
            <c:numRef>
              <c:f>'Ark1'!$C$2:$C$8</c:f>
              <c:numCache>
                <c:formatCode>0.0\ %</c:formatCode>
                <c:ptCount val="7"/>
                <c:pt idx="0">
                  <c:v>0.98556845655612935</c:v>
                </c:pt>
                <c:pt idx="1">
                  <c:v>0.9583819682028577</c:v>
                </c:pt>
                <c:pt idx="2">
                  <c:v>0.93847610033128248</c:v>
                </c:pt>
                <c:pt idx="3">
                  <c:v>0.89227616241834251</c:v>
                </c:pt>
                <c:pt idx="4">
                  <c:v>0.80384795870483339</c:v>
                </c:pt>
                <c:pt idx="5">
                  <c:v>0.71368243243243246</c:v>
                </c:pt>
                <c:pt idx="6">
                  <c:v>0.54689984101748812</c:v>
                </c:pt>
              </c:numCache>
            </c:numRef>
          </c:val>
          <c:extLst>
            <c:ext xmlns:c16="http://schemas.microsoft.com/office/drawing/2014/chart" uri="{C3380CC4-5D6E-409C-BE32-E72D297353CC}">
              <c16:uniqueId val="{0000000A-F23F-4376-86FD-7C05BACC874A}"/>
            </c:ext>
          </c:extLst>
        </c:ser>
        <c:dLbls>
          <c:showLegendKey val="0"/>
          <c:showVal val="0"/>
          <c:showCatName val="0"/>
          <c:showSerName val="0"/>
          <c:showPercent val="0"/>
          <c:showBubbleSize val="0"/>
        </c:dLbls>
        <c:gapWidth val="75"/>
        <c:overlap val="100"/>
        <c:axId val="911583520"/>
        <c:axId val="337697328"/>
      </c:barChart>
      <c:catAx>
        <c:axId val="91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crossAx val="337697328"/>
        <c:crosses val="autoZero"/>
        <c:auto val="1"/>
        <c:lblAlgn val="ctr"/>
        <c:lblOffset val="100"/>
        <c:noMultiLvlLbl val="0"/>
      </c:catAx>
      <c:valAx>
        <c:axId val="337697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91158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4019148769194E-2"/>
          <c:y val="4.4715447154471545E-2"/>
          <c:w val="0.90196074327918307"/>
          <c:h val="0.72353274438256199"/>
        </c:manualLayout>
      </c:layout>
      <c:barChart>
        <c:barDir val="col"/>
        <c:grouping val="percentStacked"/>
        <c:varyColors val="0"/>
        <c:ser>
          <c:idx val="0"/>
          <c:order val="0"/>
          <c:tx>
            <c:strRef>
              <c:f>'Ark1'!$B$1</c:f>
              <c:strCache>
                <c:ptCount val="1"/>
                <c:pt idx="0">
                  <c:v>Utenlandskontrollerte foretak</c:v>
                </c:pt>
              </c:strCache>
            </c:strRef>
          </c:tx>
          <c:spPr>
            <a:solidFill>
              <a:schemeClr val="accent1"/>
            </a:solidFill>
            <a:ln w="3175">
              <a:solidFill>
                <a:schemeClr val="tx1"/>
              </a:solidFill>
            </a:ln>
            <a:effectLst/>
          </c:spPr>
          <c:invertIfNegative val="0"/>
          <c:dLbls>
            <c:dLbl>
              <c:idx val="0"/>
              <c:layout>
                <c:manualLayout>
                  <c:x val="6.25E-2"/>
                  <c:y val="-3.5714285714285712E-2"/>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A4-479F-A121-15FEEBE271E9}"/>
                </c:ext>
              </c:extLst>
            </c:dLbl>
            <c:dLbl>
              <c:idx val="1"/>
              <c:layout>
                <c:manualLayout>
                  <c:x val="-4.2437781360066642E-17"/>
                  <c:y val="-8.1300813008130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A4-479F-A121-15FEEBE271E9}"/>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1-4 ansatte</c:v>
                </c:pt>
                <c:pt idx="1">
                  <c:v>5-9 ansatte</c:v>
                </c:pt>
                <c:pt idx="2">
                  <c:v>10-19 ansatte</c:v>
                </c:pt>
                <c:pt idx="3">
                  <c:v>20-49 ansatte</c:v>
                </c:pt>
                <c:pt idx="4">
                  <c:v>50-99 ansatte</c:v>
                </c:pt>
                <c:pt idx="5">
                  <c:v>100-249 ansatte</c:v>
                </c:pt>
                <c:pt idx="6">
                  <c:v>250+ ansatte</c:v>
                </c:pt>
              </c:strCache>
            </c:strRef>
          </c:cat>
          <c:val>
            <c:numRef>
              <c:f>'Ark1'!$B$2:$B$8</c:f>
              <c:numCache>
                <c:formatCode>0.0\ %</c:formatCode>
                <c:ptCount val="7"/>
                <c:pt idx="0">
                  <c:v>1.8108782273478247E-2</c:v>
                </c:pt>
                <c:pt idx="1">
                  <c:v>4.2833890173905591E-2</c:v>
                </c:pt>
                <c:pt idx="2">
                  <c:v>6.3305203298839957E-2</c:v>
                </c:pt>
                <c:pt idx="3">
                  <c:v>0.11525746234615902</c:v>
                </c:pt>
                <c:pt idx="4">
                  <c:v>0.19979284704978531</c:v>
                </c:pt>
                <c:pt idx="5">
                  <c:v>0.29159586102464879</c:v>
                </c:pt>
                <c:pt idx="6">
                  <c:v>0.41998998054361375</c:v>
                </c:pt>
              </c:numCache>
            </c:numRef>
          </c:val>
          <c:extLst>
            <c:ext xmlns:c16="http://schemas.microsoft.com/office/drawing/2014/chart" uri="{C3380CC4-5D6E-409C-BE32-E72D297353CC}">
              <c16:uniqueId val="{00000002-9CA4-479F-A121-15FEEBE271E9}"/>
            </c:ext>
          </c:extLst>
        </c:ser>
        <c:ser>
          <c:idx val="1"/>
          <c:order val="1"/>
          <c:tx>
            <c:strRef>
              <c:f>'Ark1'!$C$1</c:f>
              <c:strCache>
                <c:ptCount val="1"/>
                <c:pt idx="0">
                  <c:v>Norskkontrollert, ikke utenlandsk datterselskap</c:v>
                </c:pt>
              </c:strCache>
            </c:strRef>
          </c:tx>
          <c:spPr>
            <a:solidFill>
              <a:srgbClr val="00B05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1-4 ansatte</c:v>
                </c:pt>
                <c:pt idx="1">
                  <c:v>5-9 ansatte</c:v>
                </c:pt>
                <c:pt idx="2">
                  <c:v>10-19 ansatte</c:v>
                </c:pt>
                <c:pt idx="3">
                  <c:v>20-49 ansatte</c:v>
                </c:pt>
                <c:pt idx="4">
                  <c:v>50-99 ansatte</c:v>
                </c:pt>
                <c:pt idx="5">
                  <c:v>100-249 ansatte</c:v>
                </c:pt>
                <c:pt idx="6">
                  <c:v>250+ ansatte</c:v>
                </c:pt>
              </c:strCache>
            </c:strRef>
          </c:cat>
          <c:val>
            <c:numRef>
              <c:f>'Ark1'!$C$2:$C$8</c:f>
              <c:numCache>
                <c:formatCode>0.0\ %</c:formatCode>
                <c:ptCount val="7"/>
                <c:pt idx="0">
                  <c:v>0.98189121772652177</c:v>
                </c:pt>
                <c:pt idx="1">
                  <c:v>0.9571661098260944</c:v>
                </c:pt>
                <c:pt idx="2">
                  <c:v>0.93669479670116007</c:v>
                </c:pt>
                <c:pt idx="3">
                  <c:v>0.88474253765384092</c:v>
                </c:pt>
                <c:pt idx="4">
                  <c:v>0.80020715295021472</c:v>
                </c:pt>
                <c:pt idx="5">
                  <c:v>0.70840413897535126</c:v>
                </c:pt>
                <c:pt idx="6">
                  <c:v>0.58001001945638619</c:v>
                </c:pt>
              </c:numCache>
            </c:numRef>
          </c:val>
          <c:extLst>
            <c:ext xmlns:c16="http://schemas.microsoft.com/office/drawing/2014/chart" uri="{C3380CC4-5D6E-409C-BE32-E72D297353CC}">
              <c16:uniqueId val="{00000003-9CA4-479F-A121-15FEEBE271E9}"/>
            </c:ext>
          </c:extLst>
        </c:ser>
        <c:dLbls>
          <c:showLegendKey val="0"/>
          <c:showVal val="0"/>
          <c:showCatName val="0"/>
          <c:showSerName val="0"/>
          <c:showPercent val="0"/>
          <c:showBubbleSize val="0"/>
        </c:dLbls>
        <c:gapWidth val="75"/>
        <c:overlap val="100"/>
        <c:axId val="973091280"/>
        <c:axId val="474938608"/>
      </c:barChart>
      <c:catAx>
        <c:axId val="97309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crossAx val="474938608"/>
        <c:crosses val="autoZero"/>
        <c:auto val="1"/>
        <c:lblAlgn val="ctr"/>
        <c:lblOffset val="100"/>
        <c:noMultiLvlLbl val="0"/>
      </c:catAx>
      <c:valAx>
        <c:axId val="47493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97309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'Ark1'!$B$1</c:f>
              <c:strCache>
                <c:ptCount val="1"/>
                <c:pt idx="0">
                  <c:v>Andel</c:v>
                </c:pt>
              </c:strCache>
            </c:strRef>
          </c:tx>
          <c:spPr>
            <a:ln w="3175">
              <a:solidFill>
                <a:schemeClr val="tx1"/>
              </a:solidFill>
            </a:ln>
          </c:spPr>
          <c:dPt>
            <c:idx val="0"/>
            <c:bubble3D val="0"/>
            <c:spPr>
              <a:solidFill>
                <a:schemeClr val="accent1"/>
              </a:solidFill>
              <a:ln w="3175">
                <a:solidFill>
                  <a:schemeClr val="tx1"/>
                </a:solidFill>
              </a:ln>
              <a:effectLst/>
            </c:spPr>
            <c:extLst>
              <c:ext xmlns:c16="http://schemas.microsoft.com/office/drawing/2014/chart" uri="{C3380CC4-5D6E-409C-BE32-E72D297353CC}">
                <c16:uniqueId val="{00000001-CB3E-45D3-ADFB-EC856E263AC7}"/>
              </c:ext>
            </c:extLst>
          </c:dPt>
          <c:dPt>
            <c:idx val="1"/>
            <c:bubble3D val="0"/>
            <c:spPr>
              <a:solidFill>
                <a:schemeClr val="accent2"/>
              </a:solidFill>
              <a:ln w="3175">
                <a:solidFill>
                  <a:schemeClr val="tx1"/>
                </a:solidFill>
              </a:ln>
              <a:effectLst/>
            </c:spPr>
            <c:extLst>
              <c:ext xmlns:c16="http://schemas.microsoft.com/office/drawing/2014/chart" uri="{C3380CC4-5D6E-409C-BE32-E72D297353CC}">
                <c16:uniqueId val="{00000003-CB3E-45D3-ADFB-EC856E263AC7}"/>
              </c:ext>
            </c:extLst>
          </c:dPt>
          <c:dPt>
            <c:idx val="2"/>
            <c:bubble3D val="0"/>
            <c:spPr>
              <a:solidFill>
                <a:schemeClr val="accent3"/>
              </a:solidFill>
              <a:ln w="3175">
                <a:solidFill>
                  <a:schemeClr val="tx1"/>
                </a:solidFill>
              </a:ln>
              <a:effectLst/>
            </c:spPr>
            <c:extLst>
              <c:ext xmlns:c16="http://schemas.microsoft.com/office/drawing/2014/chart" uri="{C3380CC4-5D6E-409C-BE32-E72D297353CC}">
                <c16:uniqueId val="{00000005-CB3E-45D3-ADFB-EC856E263AC7}"/>
              </c:ext>
            </c:extLst>
          </c:dPt>
          <c:dPt>
            <c:idx val="3"/>
            <c:bubble3D val="0"/>
            <c:spPr>
              <a:solidFill>
                <a:schemeClr val="accent4"/>
              </a:solidFill>
              <a:ln w="3175">
                <a:solidFill>
                  <a:schemeClr val="tx1"/>
                </a:solidFill>
              </a:ln>
              <a:effectLst/>
            </c:spPr>
            <c:extLst>
              <c:ext xmlns:c16="http://schemas.microsoft.com/office/drawing/2014/chart" uri="{C3380CC4-5D6E-409C-BE32-E72D297353CC}">
                <c16:uniqueId val="{00000007-CB3E-45D3-ADFB-EC856E263AC7}"/>
              </c:ext>
            </c:extLst>
          </c:dPt>
          <c:dPt>
            <c:idx val="4"/>
            <c:bubble3D val="0"/>
            <c:spPr>
              <a:solidFill>
                <a:schemeClr val="accent5"/>
              </a:solidFill>
              <a:ln w="3175">
                <a:solidFill>
                  <a:schemeClr val="tx1"/>
                </a:solidFill>
              </a:ln>
              <a:effectLst/>
            </c:spPr>
            <c:extLst>
              <c:ext xmlns:c16="http://schemas.microsoft.com/office/drawing/2014/chart" uri="{C3380CC4-5D6E-409C-BE32-E72D297353CC}">
                <c16:uniqueId val="{00000009-CB3E-45D3-ADFB-EC856E263AC7}"/>
              </c:ext>
            </c:extLst>
          </c:dPt>
          <c:dPt>
            <c:idx val="5"/>
            <c:bubble3D val="0"/>
            <c:spPr>
              <a:solidFill>
                <a:schemeClr val="accent6"/>
              </a:solidFill>
              <a:ln w="3175">
                <a:solidFill>
                  <a:schemeClr val="tx1"/>
                </a:solidFill>
              </a:ln>
              <a:effectLst/>
            </c:spPr>
            <c:extLst>
              <c:ext xmlns:c16="http://schemas.microsoft.com/office/drawing/2014/chart" uri="{C3380CC4-5D6E-409C-BE32-E72D297353CC}">
                <c16:uniqueId val="{0000000B-CB3E-45D3-ADFB-EC856E263AC7}"/>
              </c:ext>
            </c:extLst>
          </c:dPt>
          <c:dPt>
            <c:idx val="6"/>
            <c:bubble3D val="0"/>
            <c:spPr>
              <a:solidFill>
                <a:schemeClr val="accent1">
                  <a:lumMod val="60000"/>
                </a:schemeClr>
              </a:solidFill>
              <a:ln w="3175">
                <a:solidFill>
                  <a:schemeClr val="tx1"/>
                </a:solidFill>
              </a:ln>
              <a:effectLst/>
            </c:spPr>
            <c:extLst>
              <c:ext xmlns:c16="http://schemas.microsoft.com/office/drawing/2014/chart" uri="{C3380CC4-5D6E-409C-BE32-E72D297353CC}">
                <c16:uniqueId val="{0000000D-CB3E-45D3-ADFB-EC856E263AC7}"/>
              </c:ext>
            </c:extLst>
          </c:dPt>
          <c:dLbls>
            <c:dLbl>
              <c:idx val="0"/>
              <c:layout>
                <c:manualLayout>
                  <c:x val="-0.28127387017799244"/>
                  <c:y val="5.3375245090411035E-2"/>
                </c:manualLayout>
              </c:layout>
              <c:showLegendKey val="0"/>
              <c:showVal val="1"/>
              <c:showCatName val="1"/>
              <c:showSerName val="0"/>
              <c:showPercent val="0"/>
              <c:showBubbleSize val="0"/>
              <c:extLst>
                <c:ext xmlns:c15="http://schemas.microsoft.com/office/drawing/2012/chart" uri="{CE6537A1-D6FC-4f65-9D91-7224C49458BB}">
                  <c15:layout>
                    <c:manualLayout>
                      <c:w val="0.24656259113444154"/>
                      <c:h val="0.14321428571428571"/>
                    </c:manualLayout>
                  </c15:layout>
                </c:ext>
                <c:ext xmlns:c16="http://schemas.microsoft.com/office/drawing/2014/chart" uri="{C3380CC4-5D6E-409C-BE32-E72D297353CC}">
                  <c16:uniqueId val="{00000001-CB3E-45D3-ADFB-EC856E263AC7}"/>
                </c:ext>
              </c:extLst>
            </c:dLbl>
            <c:dLbl>
              <c:idx val="1"/>
              <c:layout>
                <c:manualLayout>
                  <c:x val="-0.21071413132182007"/>
                  <c:y val="-3.1333481433943051E-2"/>
                </c:manualLayout>
              </c:layout>
              <c:showLegendKey val="0"/>
              <c:showVal val="1"/>
              <c:showCatName val="1"/>
              <c:showSerName val="0"/>
              <c:showPercent val="0"/>
              <c:showBubbleSize val="0"/>
              <c:extLst>
                <c:ext xmlns:c15="http://schemas.microsoft.com/office/drawing/2012/chart" uri="{CE6537A1-D6FC-4f65-9D91-7224C49458BB}">
                  <c15:layout>
                    <c:manualLayout>
                      <c:w val="0.24273054103531178"/>
                      <c:h val="0.20645524052576431"/>
                    </c:manualLayout>
                  </c15:layout>
                </c:ext>
                <c:ext xmlns:c16="http://schemas.microsoft.com/office/drawing/2014/chart" uri="{C3380CC4-5D6E-409C-BE32-E72D297353CC}">
                  <c16:uniqueId val="{00000003-CB3E-45D3-ADFB-EC856E263AC7}"/>
                </c:ext>
              </c:extLst>
            </c:dLbl>
            <c:dLbl>
              <c:idx val="2"/>
              <c:layout>
                <c:manualLayout>
                  <c:x val="0.13557422969187666"/>
                  <c:y val="-0.13684068488304166"/>
                </c:manualLayout>
              </c:layout>
              <c:showLegendKey val="0"/>
              <c:showVal val="1"/>
              <c:showCatName val="1"/>
              <c:showSerName val="0"/>
              <c:showPercent val="0"/>
              <c:showBubbleSize val="0"/>
              <c:extLst>
                <c:ext xmlns:c15="http://schemas.microsoft.com/office/drawing/2012/chart" uri="{CE6537A1-D6FC-4f65-9D91-7224C49458BB}">
                  <c15:layout>
                    <c:manualLayout>
                      <c:w val="0.24675621429674233"/>
                      <c:h val="0.10474399164054336"/>
                    </c:manualLayout>
                  </c15:layout>
                </c:ext>
                <c:ext xmlns:c16="http://schemas.microsoft.com/office/drawing/2014/chart" uri="{C3380CC4-5D6E-409C-BE32-E72D297353CC}">
                  <c16:uniqueId val="{00000005-CB3E-45D3-ADFB-EC856E263AC7}"/>
                </c:ext>
              </c:extLst>
            </c:dLbl>
            <c:dLbl>
              <c:idx val="3"/>
              <c:layout>
                <c:manualLayout>
                  <c:x val="0.19495798319327723"/>
                  <c:y val="-0.15010687927331967"/>
                </c:manualLayout>
              </c:layout>
              <c:showLegendKey val="0"/>
              <c:showVal val="1"/>
              <c:showCatName val="1"/>
              <c:showSerName val="0"/>
              <c:showPercent val="0"/>
              <c:showBubbleSize val="0"/>
              <c:extLst>
                <c:ext xmlns:c15="http://schemas.microsoft.com/office/drawing/2012/chart" uri="{CE6537A1-D6FC-4f65-9D91-7224C49458BB}">
                  <c15:layout>
                    <c:manualLayout>
                      <c:w val="0.22210635435276474"/>
                      <c:h val="0.10474399164054336"/>
                    </c:manualLayout>
                  </c15:layout>
                </c:ext>
                <c:ext xmlns:c16="http://schemas.microsoft.com/office/drawing/2014/chart" uri="{C3380CC4-5D6E-409C-BE32-E72D297353CC}">
                  <c16:uniqueId val="{00000007-CB3E-45D3-ADFB-EC856E263AC7}"/>
                </c:ext>
              </c:extLst>
            </c:dLbl>
            <c:dLbl>
              <c:idx val="4"/>
              <c:layout>
                <c:manualLayout>
                  <c:x val="0.21512605042016808"/>
                  <c:y val="-7.4144760118151451E-2"/>
                </c:manualLayout>
              </c:layout>
              <c:showLegendKey val="0"/>
              <c:showVal val="1"/>
              <c:showCatName val="1"/>
              <c:showSerName val="0"/>
              <c:showPercent val="0"/>
              <c:showBubbleSize val="0"/>
              <c:extLst>
                <c:ext xmlns:c15="http://schemas.microsoft.com/office/drawing/2012/chart" uri="{CE6537A1-D6FC-4f65-9D91-7224C49458BB}">
                  <c15:layout>
                    <c:manualLayout>
                      <c:w val="0.21092445797216525"/>
                      <c:h val="0.10474399164054336"/>
                    </c:manualLayout>
                  </c15:layout>
                </c:ext>
                <c:ext xmlns:c16="http://schemas.microsoft.com/office/drawing/2014/chart" uri="{C3380CC4-5D6E-409C-BE32-E72D297353CC}">
                  <c16:uniqueId val="{00000009-CB3E-45D3-ADFB-EC856E263AC7}"/>
                </c:ext>
              </c:extLst>
            </c:dLbl>
            <c:dLbl>
              <c:idx val="5"/>
              <c:layout>
                <c:manualLayout>
                  <c:x val="0.23529411764705882"/>
                  <c:y val="5.7450821614158876E-2"/>
                </c:manualLayout>
              </c:layout>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1"/>
              <c:showSerName val="0"/>
              <c:showPercent val="0"/>
              <c:showBubbleSize val="0"/>
              <c:extLst>
                <c:ext xmlns:c15="http://schemas.microsoft.com/office/drawing/2012/chart" uri="{CE6537A1-D6FC-4f65-9D91-7224C49458BB}">
                  <c15:layout>
                    <c:manualLayout>
                      <c:w val="0.21988804340633891"/>
                      <c:h val="0.16040275809679633"/>
                    </c:manualLayout>
                  </c15:layout>
                </c:ext>
                <c:ext xmlns:c16="http://schemas.microsoft.com/office/drawing/2014/chart" uri="{C3380CC4-5D6E-409C-BE32-E72D297353CC}">
                  <c16:uniqueId val="{0000000B-CB3E-45D3-ADFB-EC856E263AC7}"/>
                </c:ext>
              </c:extLst>
            </c:dLbl>
            <c:dLbl>
              <c:idx val="6"/>
              <c:layout>
                <c:manualLayout>
                  <c:x val="0.21064425770308107"/>
                  <c:y val="0.1982813024995252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B3E-45D3-ADFB-EC856E263A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'Ark1'!$A$2:$A$8</c:f>
              <c:strCache>
                <c:ptCount val="7"/>
                <c:pt idx="0">
                  <c:v>1-4 ansatte</c:v>
                </c:pt>
                <c:pt idx="1">
                  <c:v>5-9 ansatte</c:v>
                </c:pt>
                <c:pt idx="2">
                  <c:v>10-19 ansatte</c:v>
                </c:pt>
                <c:pt idx="3">
                  <c:v>20-49 ansatte</c:v>
                </c:pt>
                <c:pt idx="4">
                  <c:v>50-99 ansatte</c:v>
                </c:pt>
                <c:pt idx="5">
                  <c:v>100 - 249 ansatte</c:v>
                </c:pt>
                <c:pt idx="6">
                  <c:v>250 ansatte og over</c:v>
                </c:pt>
              </c:strCache>
            </c:strRef>
          </c:cat>
          <c:val>
            <c:numRef>
              <c:f>'Ark1'!$B$2:$B$8</c:f>
              <c:numCache>
                <c:formatCode>0.0\ %</c:formatCode>
                <c:ptCount val="7"/>
                <c:pt idx="0">
                  <c:v>0.49449200786644781</c:v>
                </c:pt>
                <c:pt idx="1">
                  <c:v>0.2042417700493378</c:v>
                </c:pt>
                <c:pt idx="2">
                  <c:v>0.14811693208534801</c:v>
                </c:pt>
                <c:pt idx="3">
                  <c:v>0.1038114812678979</c:v>
                </c:pt>
                <c:pt idx="4">
                  <c:v>3.1219348701493933E-2</c:v>
                </c:pt>
                <c:pt idx="5">
                  <c:v>1.3953580071665509E-2</c:v>
                </c:pt>
                <c:pt idx="6">
                  <c:v>4.1648799578090263E-3</c:v>
                </c:pt>
              </c:numCache>
            </c:numRef>
          </c:val>
          <c:extLst>
            <c:ext xmlns:c16="http://schemas.microsoft.com/office/drawing/2014/chart" uri="{C3380CC4-5D6E-409C-BE32-E72D297353CC}">
              <c16:uniqueId val="{0000000E-CB3E-45D3-ADFB-EC856E263AC7}"/>
            </c:ext>
          </c:extLst>
        </c:ser>
        <c:dLbls>
          <c:showLegendKey val="0"/>
          <c:showVal val="0"/>
          <c:showCatName val="0"/>
          <c:showSerName val="0"/>
          <c:showPercent val="0"/>
          <c:showBubbleSize val="0"/>
          <c:showLeaderLines val="1"/>
        </c:dLbls>
        <c:firstSliceAng val="90"/>
        <c:holeSize val="56"/>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4"/>
          <c:tx>
            <c:strRef>
              <c:f>'Ark1'!$F$1</c:f>
              <c:strCache>
                <c:ptCount val="1"/>
                <c:pt idx="0">
                  <c:v>2020</c:v>
                </c:pt>
              </c:strCache>
            </c:strRef>
          </c:tx>
          <c:spPr>
            <a:solidFill>
              <a:schemeClr val="accent1"/>
            </a:solidFill>
            <a:ln w="3175">
              <a:solidFill>
                <a:schemeClr val="tx1"/>
              </a:solidFill>
            </a:ln>
            <a:effectLst/>
          </c:spPr>
          <c:invertIfNegative val="0"/>
          <c:dLbls>
            <c:dLbl>
              <c:idx val="4"/>
              <c:layout>
                <c:manualLayout>
                  <c:x val="-2.2753128555176336E-3"/>
                  <c:y val="1.42550488034961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68-4FCA-9DA7-0C021D10E0D1}"/>
                </c:ext>
              </c:extLst>
            </c:dLbl>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dLblPos val="ctr"/>
              <c:showLegendKey val="0"/>
              <c:showVal val="1"/>
              <c:showCatName val="0"/>
              <c:showSerName val="0"/>
              <c:showPercent val="0"/>
              <c:showBubbleSize val="0"/>
              <c:extLst>
                <c:ext xmlns:c16="http://schemas.microsoft.com/office/drawing/2014/chart" uri="{C3380CC4-5D6E-409C-BE32-E72D297353CC}">
                  <c16:uniqueId val="{00000001-2368-4FCA-9DA7-0C021D10E0D1}"/>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dLblPos val="ctr"/>
              <c:showLegendKey val="0"/>
              <c:showVal val="1"/>
              <c:showCatName val="0"/>
              <c:showSerName val="0"/>
              <c:showPercent val="0"/>
              <c:showBubbleSize val="0"/>
              <c:extLst>
                <c:ext xmlns:c16="http://schemas.microsoft.com/office/drawing/2014/chart" uri="{C3380CC4-5D6E-409C-BE32-E72D297353CC}">
                  <c16:uniqueId val="{00000002-2368-4FCA-9DA7-0C021D10E0D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1-4 ansatte</c:v>
                </c:pt>
                <c:pt idx="1">
                  <c:v>5-9 ansatte</c:v>
                </c:pt>
                <c:pt idx="2">
                  <c:v>10-19 ansatte</c:v>
                </c:pt>
                <c:pt idx="3">
                  <c:v>20-49 ansatte</c:v>
                </c:pt>
                <c:pt idx="4">
                  <c:v>50-99 ansatte</c:v>
                </c:pt>
                <c:pt idx="5">
                  <c:v>100 - 249 ansatte</c:v>
                </c:pt>
                <c:pt idx="6">
                  <c:v>250 ansatte og over</c:v>
                </c:pt>
              </c:strCache>
            </c:strRef>
          </c:cat>
          <c:val>
            <c:numRef>
              <c:f>'Ark1'!$F$2:$F$8</c:f>
              <c:numCache>
                <c:formatCode>_-* #,##0_-;\-* #,##0_-;_-* "-"??_-;_-@_-</c:formatCode>
                <c:ptCount val="7"/>
                <c:pt idx="0">
                  <c:v>100326</c:v>
                </c:pt>
                <c:pt idx="1">
                  <c:v>41438</c:v>
                </c:pt>
                <c:pt idx="2">
                  <c:v>30051</c:v>
                </c:pt>
                <c:pt idx="3">
                  <c:v>21062</c:v>
                </c:pt>
                <c:pt idx="4">
                  <c:v>6334</c:v>
                </c:pt>
                <c:pt idx="5">
                  <c:v>2831</c:v>
                </c:pt>
                <c:pt idx="6">
                  <c:v>845</c:v>
                </c:pt>
              </c:numCache>
            </c:numRef>
          </c:val>
          <c:extLst>
            <c:ext xmlns:c16="http://schemas.microsoft.com/office/drawing/2014/chart" uri="{C3380CC4-5D6E-409C-BE32-E72D297353CC}">
              <c16:uniqueId val="{00000003-2368-4FCA-9DA7-0C021D10E0D1}"/>
            </c:ext>
          </c:extLst>
        </c:ser>
        <c:dLbls>
          <c:showLegendKey val="0"/>
          <c:showVal val="0"/>
          <c:showCatName val="0"/>
          <c:showSerName val="0"/>
          <c:showPercent val="0"/>
          <c:showBubbleSize val="0"/>
        </c:dLbls>
        <c:gapWidth val="50"/>
        <c:axId val="813659935"/>
        <c:axId val="932461951"/>
        <c:extLst>
          <c:ext xmlns:c15="http://schemas.microsoft.com/office/drawing/2012/chart" uri="{02D57815-91ED-43cb-92C2-25804820EDAC}">
            <c15:filteredBarSeries>
              <c15:ser>
                <c:idx val="0"/>
                <c:order val="0"/>
                <c:tx>
                  <c:strRef>
                    <c:extLst>
                      <c:ext uri="{02D57815-91ED-43cb-92C2-25804820EDAC}">
                        <c15:formulaRef>
                          <c15:sqref>'Ark1'!$B$1</c15:sqref>
                        </c15:formulaRef>
                      </c:ext>
                    </c:extLst>
                    <c:strCache>
                      <c:ptCount val="1"/>
                      <c:pt idx="0">
                        <c:v>2016</c:v>
                      </c:pt>
                    </c:strCache>
                  </c:strRef>
                </c:tx>
                <c:spPr>
                  <a:solidFill>
                    <a:schemeClr val="accent1"/>
                  </a:solidFill>
                  <a:ln>
                    <a:noFill/>
                  </a:ln>
                  <a:effectLst/>
                </c:spPr>
                <c:invertIfNegative val="0"/>
                <c:cat>
                  <c:strRef>
                    <c:extLst>
                      <c:ext uri="{02D57815-91ED-43cb-92C2-25804820EDAC}">
                        <c15:formulaRef>
                          <c15:sqref>'Ark1'!$A$2:$A$8</c15:sqref>
                        </c15:formulaRef>
                      </c:ext>
                    </c:extLst>
                    <c:strCache>
                      <c:ptCount val="7"/>
                      <c:pt idx="0">
                        <c:v>1-4 ansatte</c:v>
                      </c:pt>
                      <c:pt idx="1">
                        <c:v>5-9 ansatte</c:v>
                      </c:pt>
                      <c:pt idx="2">
                        <c:v>10-19 ansatte</c:v>
                      </c:pt>
                      <c:pt idx="3">
                        <c:v>20-49 ansatte</c:v>
                      </c:pt>
                      <c:pt idx="4">
                        <c:v>50-99 ansatte</c:v>
                      </c:pt>
                      <c:pt idx="5">
                        <c:v>100 - 249 ansatte</c:v>
                      </c:pt>
                      <c:pt idx="6">
                        <c:v>250 ansatte og over</c:v>
                      </c:pt>
                    </c:strCache>
                  </c:strRef>
                </c:cat>
                <c:val>
                  <c:numRef>
                    <c:extLst>
                      <c:ext uri="{02D57815-91ED-43cb-92C2-25804820EDAC}">
                        <c15:formulaRef>
                          <c15:sqref>'Ark1'!$B$2:$B$8</c15:sqref>
                        </c15:formulaRef>
                      </c:ext>
                    </c:extLst>
                    <c:numCache>
                      <c:formatCode>_-* #,##0_-;\-* #,##0_-;_-* "-"??_-;_-@_-</c:formatCode>
                      <c:ptCount val="7"/>
                      <c:pt idx="0">
                        <c:v>91273</c:v>
                      </c:pt>
                      <c:pt idx="1">
                        <c:v>41159</c:v>
                      </c:pt>
                      <c:pt idx="2">
                        <c:v>29614</c:v>
                      </c:pt>
                      <c:pt idx="3">
                        <c:v>20712</c:v>
                      </c:pt>
                      <c:pt idx="4">
                        <c:v>6181</c:v>
                      </c:pt>
                      <c:pt idx="5">
                        <c:v>2790</c:v>
                      </c:pt>
                      <c:pt idx="6">
                        <c:v>786</c:v>
                      </c:pt>
                    </c:numCache>
                  </c:numRef>
                </c:val>
                <c:extLst>
                  <c:ext xmlns:c16="http://schemas.microsoft.com/office/drawing/2014/chart" uri="{C3380CC4-5D6E-409C-BE32-E72D297353CC}">
                    <c16:uniqueId val="{00000004-2368-4FCA-9DA7-0C021D10E0D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'Ark1'!$C$1</c15:sqref>
                        </c15:formulaRef>
                      </c:ext>
                    </c:extLst>
                    <c:strCache>
                      <c:ptCount val="1"/>
                      <c:pt idx="0">
                        <c:v>2017</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'Ark1'!$A$2:$A$8</c15:sqref>
                        </c15:formulaRef>
                      </c:ext>
                    </c:extLst>
                    <c:strCache>
                      <c:ptCount val="7"/>
                      <c:pt idx="0">
                        <c:v>1-4 ansatte</c:v>
                      </c:pt>
                      <c:pt idx="1">
                        <c:v>5-9 ansatte</c:v>
                      </c:pt>
                      <c:pt idx="2">
                        <c:v>10-19 ansatte</c:v>
                      </c:pt>
                      <c:pt idx="3">
                        <c:v>20-49 ansatte</c:v>
                      </c:pt>
                      <c:pt idx="4">
                        <c:v>50-99 ansatte</c:v>
                      </c:pt>
                      <c:pt idx="5">
                        <c:v>100 - 249 ansatte</c:v>
                      </c:pt>
                      <c:pt idx="6">
                        <c:v>250 ansatte og over</c:v>
                      </c:pt>
                    </c:strCache>
                  </c:strRef>
                </c:cat>
                <c:val>
                  <c:numRef>
                    <c:extLst xmlns:c15="http://schemas.microsoft.com/office/drawing/2012/chart">
                      <c:ext xmlns:c15="http://schemas.microsoft.com/office/drawing/2012/chart" uri="{02D57815-91ED-43cb-92C2-25804820EDAC}">
                        <c15:formulaRef>
                          <c15:sqref>'Ark1'!$C$2:$C$8</c15:sqref>
                        </c15:formulaRef>
                      </c:ext>
                    </c:extLst>
                    <c:numCache>
                      <c:formatCode>_-* #,##0_-;\-* #,##0_-;_-* "-"??_-;_-@_-</c:formatCode>
                      <c:ptCount val="7"/>
                      <c:pt idx="0">
                        <c:v>95307</c:v>
                      </c:pt>
                      <c:pt idx="1">
                        <c:v>41085</c:v>
                      </c:pt>
                      <c:pt idx="2">
                        <c:v>29324</c:v>
                      </c:pt>
                      <c:pt idx="3">
                        <c:v>20359</c:v>
                      </c:pt>
                      <c:pt idx="4">
                        <c:v>5916</c:v>
                      </c:pt>
                      <c:pt idx="5">
                        <c:v>2689</c:v>
                      </c:pt>
                      <c:pt idx="6">
                        <c:v>744</c:v>
                      </c:pt>
                    </c:numCache>
                  </c:numRef>
                </c:val>
                <c:extLst xmlns:c15="http://schemas.microsoft.com/office/drawing/2012/chart">
                  <c:ext xmlns:c16="http://schemas.microsoft.com/office/drawing/2014/chart" uri="{C3380CC4-5D6E-409C-BE32-E72D297353CC}">
                    <c16:uniqueId val="{00000005-2368-4FCA-9DA7-0C021D10E0D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'Ark1'!$D$1</c15:sqref>
                        </c15:formulaRef>
                      </c:ext>
                    </c:extLst>
                    <c:strCache>
                      <c:ptCount val="1"/>
                      <c:pt idx="0">
                        <c:v>2018</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'Ark1'!$A$2:$A$8</c15:sqref>
                        </c15:formulaRef>
                      </c:ext>
                    </c:extLst>
                    <c:strCache>
                      <c:ptCount val="7"/>
                      <c:pt idx="0">
                        <c:v>1-4 ansatte</c:v>
                      </c:pt>
                      <c:pt idx="1">
                        <c:v>5-9 ansatte</c:v>
                      </c:pt>
                      <c:pt idx="2">
                        <c:v>10-19 ansatte</c:v>
                      </c:pt>
                      <c:pt idx="3">
                        <c:v>20-49 ansatte</c:v>
                      </c:pt>
                      <c:pt idx="4">
                        <c:v>50-99 ansatte</c:v>
                      </c:pt>
                      <c:pt idx="5">
                        <c:v>100 - 249 ansatte</c:v>
                      </c:pt>
                      <c:pt idx="6">
                        <c:v>250 ansatte og over</c:v>
                      </c:pt>
                    </c:strCache>
                  </c:strRef>
                </c:cat>
                <c:val>
                  <c:numRef>
                    <c:extLst xmlns:c15="http://schemas.microsoft.com/office/drawing/2012/chart">
                      <c:ext xmlns:c15="http://schemas.microsoft.com/office/drawing/2012/chart" uri="{02D57815-91ED-43cb-92C2-25804820EDAC}">
                        <c15:formulaRef>
                          <c15:sqref>'Ark1'!$D$2:$D$8</c15:sqref>
                        </c15:formulaRef>
                      </c:ext>
                    </c:extLst>
                    <c:numCache>
                      <c:formatCode>_-* #,##0_-;\-* #,##0_-;_-* "-"??_-;_-@_-</c:formatCode>
                      <c:ptCount val="7"/>
                      <c:pt idx="0">
                        <c:v>98331</c:v>
                      </c:pt>
                      <c:pt idx="1">
                        <c:v>41757</c:v>
                      </c:pt>
                      <c:pt idx="2">
                        <c:v>29662</c:v>
                      </c:pt>
                      <c:pt idx="3">
                        <c:v>20654</c:v>
                      </c:pt>
                      <c:pt idx="4">
                        <c:v>6133</c:v>
                      </c:pt>
                      <c:pt idx="5">
                        <c:v>2715</c:v>
                      </c:pt>
                      <c:pt idx="6">
                        <c:v>764</c:v>
                      </c:pt>
                    </c:numCache>
                  </c:numRef>
                </c:val>
                <c:extLst xmlns:c15="http://schemas.microsoft.com/office/drawing/2012/chart">
                  <c:ext xmlns:c16="http://schemas.microsoft.com/office/drawing/2014/chart" uri="{C3380CC4-5D6E-409C-BE32-E72D297353CC}">
                    <c16:uniqueId val="{00000006-2368-4FCA-9DA7-0C021D10E0D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'Ark1'!$E$1</c15:sqref>
                        </c15:formulaRef>
                      </c:ext>
                    </c:extLst>
                    <c:strCache>
                      <c:ptCount val="1"/>
                      <c:pt idx="0">
                        <c:v>2019</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'Ark1'!$A$2:$A$8</c15:sqref>
                        </c15:formulaRef>
                      </c:ext>
                    </c:extLst>
                    <c:strCache>
                      <c:ptCount val="7"/>
                      <c:pt idx="0">
                        <c:v>1-4 ansatte</c:v>
                      </c:pt>
                      <c:pt idx="1">
                        <c:v>5-9 ansatte</c:v>
                      </c:pt>
                      <c:pt idx="2">
                        <c:v>10-19 ansatte</c:v>
                      </c:pt>
                      <c:pt idx="3">
                        <c:v>20-49 ansatte</c:v>
                      </c:pt>
                      <c:pt idx="4">
                        <c:v>50-99 ansatte</c:v>
                      </c:pt>
                      <c:pt idx="5">
                        <c:v>100 - 249 ansatte</c:v>
                      </c:pt>
                      <c:pt idx="6">
                        <c:v>250 ansatte og over</c:v>
                      </c:pt>
                    </c:strCache>
                  </c:strRef>
                </c:cat>
                <c:val>
                  <c:numRef>
                    <c:extLst xmlns:c15="http://schemas.microsoft.com/office/drawing/2012/chart">
                      <c:ext xmlns:c15="http://schemas.microsoft.com/office/drawing/2012/chart" uri="{02D57815-91ED-43cb-92C2-25804820EDAC}">
                        <c15:formulaRef>
                          <c15:sqref>'Ark1'!$E$2:$E$8</c15:sqref>
                        </c15:formulaRef>
                      </c:ext>
                    </c:extLst>
                    <c:numCache>
                      <c:formatCode>_-* #,##0_-;\-* #,##0_-;_-* "-"??_-;_-@_-</c:formatCode>
                      <c:ptCount val="7"/>
                      <c:pt idx="0">
                        <c:v>99658</c:v>
                      </c:pt>
                      <c:pt idx="1">
                        <c:v>41732</c:v>
                      </c:pt>
                      <c:pt idx="2">
                        <c:v>30026</c:v>
                      </c:pt>
                      <c:pt idx="3">
                        <c:v>20774</c:v>
                      </c:pt>
                      <c:pt idx="4">
                        <c:v>6329</c:v>
                      </c:pt>
                      <c:pt idx="5">
                        <c:v>2768</c:v>
                      </c:pt>
                      <c:pt idx="6">
                        <c:v>814</c:v>
                      </c:pt>
                    </c:numCache>
                  </c:numRef>
                </c:val>
                <c:extLst xmlns:c15="http://schemas.microsoft.com/office/drawing/2012/chart">
                  <c:ext xmlns:c16="http://schemas.microsoft.com/office/drawing/2014/chart" uri="{C3380CC4-5D6E-409C-BE32-E72D297353CC}">
                    <c16:uniqueId val="{00000007-2368-4FCA-9DA7-0C021D10E0D1}"/>
                  </c:ext>
                </c:extLst>
              </c15:ser>
            </c15:filteredBarSeries>
          </c:ext>
        </c:extLst>
      </c:barChart>
      <c:catAx>
        <c:axId val="813659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932461951"/>
        <c:crosses val="autoZero"/>
        <c:auto val="1"/>
        <c:lblAlgn val="ctr"/>
        <c:lblOffset val="100"/>
        <c:noMultiLvlLbl val="0"/>
      </c:catAx>
      <c:valAx>
        <c:axId val="932461951"/>
        <c:scaling>
          <c:orientation val="minMax"/>
          <c:max val="1100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r>
                  <a:rPr lang="nb-NO" b="1"/>
                  <a:t>Antall virksomheter</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endParaRPr lang="nb-NO"/>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813659935"/>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'Ark1'!$B$1</c:f>
              <c:strCache>
                <c:ptCount val="1"/>
                <c:pt idx="0">
                  <c:v>Andel</c:v>
                </c:pt>
              </c:strCache>
            </c:strRef>
          </c:tx>
          <c:spPr>
            <a:ln w="3175">
              <a:solidFill>
                <a:schemeClr val="tx1"/>
              </a:solidFill>
            </a:ln>
          </c:spPr>
          <c:dPt>
            <c:idx val="0"/>
            <c:bubble3D val="0"/>
            <c:spPr>
              <a:solidFill>
                <a:schemeClr val="accent1"/>
              </a:solidFill>
              <a:ln w="3175">
                <a:solidFill>
                  <a:schemeClr val="tx1"/>
                </a:solidFill>
              </a:ln>
              <a:effectLst/>
            </c:spPr>
            <c:extLst>
              <c:ext xmlns:c16="http://schemas.microsoft.com/office/drawing/2014/chart" uri="{C3380CC4-5D6E-409C-BE32-E72D297353CC}">
                <c16:uniqueId val="{00000001-D77A-4992-AD38-459EA86165E4}"/>
              </c:ext>
            </c:extLst>
          </c:dPt>
          <c:dPt>
            <c:idx val="1"/>
            <c:bubble3D val="0"/>
            <c:spPr>
              <a:solidFill>
                <a:schemeClr val="accent2"/>
              </a:solidFill>
              <a:ln w="3175">
                <a:solidFill>
                  <a:schemeClr val="tx1"/>
                </a:solidFill>
              </a:ln>
              <a:effectLst/>
            </c:spPr>
            <c:extLst>
              <c:ext xmlns:c16="http://schemas.microsoft.com/office/drawing/2014/chart" uri="{C3380CC4-5D6E-409C-BE32-E72D297353CC}">
                <c16:uniqueId val="{00000003-D77A-4992-AD38-459EA86165E4}"/>
              </c:ext>
            </c:extLst>
          </c:dPt>
          <c:dPt>
            <c:idx val="2"/>
            <c:bubble3D val="0"/>
            <c:spPr>
              <a:solidFill>
                <a:schemeClr val="accent3"/>
              </a:solidFill>
              <a:ln w="3175">
                <a:solidFill>
                  <a:schemeClr val="tx1"/>
                </a:solidFill>
              </a:ln>
              <a:effectLst/>
            </c:spPr>
            <c:extLst>
              <c:ext xmlns:c16="http://schemas.microsoft.com/office/drawing/2014/chart" uri="{C3380CC4-5D6E-409C-BE32-E72D297353CC}">
                <c16:uniqueId val="{00000005-D77A-4992-AD38-459EA86165E4}"/>
              </c:ext>
            </c:extLst>
          </c:dPt>
          <c:dPt>
            <c:idx val="3"/>
            <c:bubble3D val="0"/>
            <c:spPr>
              <a:solidFill>
                <a:schemeClr val="accent4"/>
              </a:solidFill>
              <a:ln w="3175">
                <a:solidFill>
                  <a:schemeClr val="tx1"/>
                </a:solidFill>
              </a:ln>
              <a:effectLst/>
            </c:spPr>
            <c:extLst>
              <c:ext xmlns:c16="http://schemas.microsoft.com/office/drawing/2014/chart" uri="{C3380CC4-5D6E-409C-BE32-E72D297353CC}">
                <c16:uniqueId val="{00000007-D77A-4992-AD38-459EA86165E4}"/>
              </c:ext>
            </c:extLst>
          </c:dPt>
          <c:dPt>
            <c:idx val="4"/>
            <c:bubble3D val="0"/>
            <c:spPr>
              <a:solidFill>
                <a:schemeClr val="accent5"/>
              </a:solidFill>
              <a:ln w="3175">
                <a:solidFill>
                  <a:schemeClr val="tx1"/>
                </a:solidFill>
              </a:ln>
              <a:effectLst/>
            </c:spPr>
            <c:extLst>
              <c:ext xmlns:c16="http://schemas.microsoft.com/office/drawing/2014/chart" uri="{C3380CC4-5D6E-409C-BE32-E72D297353CC}">
                <c16:uniqueId val="{00000009-D77A-4992-AD38-459EA86165E4}"/>
              </c:ext>
            </c:extLst>
          </c:dPt>
          <c:dPt>
            <c:idx val="5"/>
            <c:bubble3D val="0"/>
            <c:spPr>
              <a:solidFill>
                <a:schemeClr val="accent6"/>
              </a:solidFill>
              <a:ln w="3175">
                <a:solidFill>
                  <a:schemeClr val="tx1"/>
                </a:solidFill>
              </a:ln>
              <a:effectLst/>
            </c:spPr>
            <c:extLst>
              <c:ext xmlns:c16="http://schemas.microsoft.com/office/drawing/2014/chart" uri="{C3380CC4-5D6E-409C-BE32-E72D297353CC}">
                <c16:uniqueId val="{0000000B-D77A-4992-AD38-459EA86165E4}"/>
              </c:ext>
            </c:extLst>
          </c:dPt>
          <c:dLbls>
            <c:dLbl>
              <c:idx val="0"/>
              <c:layout>
                <c:manualLayout>
                  <c:x val="0.20275974326738569"/>
                  <c:y val="-0.13471264367816091"/>
                </c:manualLayout>
              </c:layout>
              <c:showLegendKey val="0"/>
              <c:showVal val="1"/>
              <c:showCatName val="1"/>
              <c:showSerName val="0"/>
              <c:showPercent val="0"/>
              <c:showBubbleSize val="0"/>
              <c:extLst>
                <c:ext xmlns:c15="http://schemas.microsoft.com/office/drawing/2012/chart" uri="{CE6537A1-D6FC-4f65-9D91-7224C49458BB}">
                  <c15:layout>
                    <c:manualLayout>
                      <c:w val="0.24656259113444154"/>
                      <c:h val="0.14321428571428571"/>
                    </c:manualLayout>
                  </c15:layout>
                </c:ext>
                <c:ext xmlns:c16="http://schemas.microsoft.com/office/drawing/2014/chart" uri="{C3380CC4-5D6E-409C-BE32-E72D297353CC}">
                  <c16:uniqueId val="{00000001-D77A-4992-AD38-459EA86165E4}"/>
                </c:ext>
              </c:extLst>
            </c:dLbl>
            <c:dLbl>
              <c:idx val="1"/>
              <c:layout>
                <c:manualLayout>
                  <c:x val="0.24642872582103709"/>
                  <c:y val="5.6440813236903378E-2"/>
                </c:manualLayout>
              </c:layout>
              <c:showLegendKey val="0"/>
              <c:showVal val="1"/>
              <c:showCatName val="1"/>
              <c:showSerName val="0"/>
              <c:showPercent val="0"/>
              <c:showBubbleSize val="0"/>
              <c:extLst>
                <c:ext xmlns:c15="http://schemas.microsoft.com/office/drawing/2012/chart" uri="{CE6537A1-D6FC-4f65-9D91-7224C49458BB}">
                  <c15:layout>
                    <c:manualLayout>
                      <c:w val="0.24273054103531178"/>
                      <c:h val="0.20645524052576431"/>
                    </c:manualLayout>
                  </c15:layout>
                </c:ext>
                <c:ext xmlns:c16="http://schemas.microsoft.com/office/drawing/2014/chart" uri="{C3380CC4-5D6E-409C-BE32-E72D297353CC}">
                  <c16:uniqueId val="{00000003-D77A-4992-AD38-459EA86165E4}"/>
                </c:ext>
              </c:extLst>
            </c:dLbl>
            <c:dLbl>
              <c:idx val="2"/>
              <c:layout>
                <c:manualLayout>
                  <c:x val="0.20056022408963586"/>
                  <c:y val="0.12230247081183818"/>
                </c:manualLayout>
              </c:layout>
              <c:showLegendKey val="0"/>
              <c:showVal val="1"/>
              <c:showCatName val="1"/>
              <c:showSerName val="0"/>
              <c:showPercent val="0"/>
              <c:showBubbleSize val="0"/>
              <c:extLst>
                <c:ext xmlns:c15="http://schemas.microsoft.com/office/drawing/2012/chart" uri="{CE6537A1-D6FC-4f65-9D91-7224C49458BB}">
                  <c15:layout>
                    <c:manualLayout>
                      <c:w val="0.24675621429674233"/>
                      <c:h val="0.10474399164054336"/>
                    </c:manualLayout>
                  </c15:layout>
                </c:ext>
                <c:ext xmlns:c16="http://schemas.microsoft.com/office/drawing/2014/chart" uri="{C3380CC4-5D6E-409C-BE32-E72D297353CC}">
                  <c16:uniqueId val="{00000005-D77A-4992-AD38-459EA86165E4}"/>
                </c:ext>
              </c:extLst>
            </c:dLbl>
            <c:dLbl>
              <c:idx val="3"/>
              <c:layout>
                <c:manualLayout>
                  <c:x val="-0.1815126050420168"/>
                  <c:y val="0.12157546137453822"/>
                </c:manualLayout>
              </c:layout>
              <c:showLegendKey val="0"/>
              <c:showVal val="1"/>
              <c:showCatName val="1"/>
              <c:showSerName val="0"/>
              <c:showPercent val="0"/>
              <c:showBubbleSize val="0"/>
              <c:extLst>
                <c:ext xmlns:c15="http://schemas.microsoft.com/office/drawing/2012/chart" uri="{CE6537A1-D6FC-4f65-9D91-7224C49458BB}">
                  <c15:layout>
                    <c:manualLayout>
                      <c:w val="0.22210635435276474"/>
                      <c:h val="0.10474399164054336"/>
                    </c:manualLayout>
                  </c15:layout>
                </c:ext>
                <c:ext xmlns:c16="http://schemas.microsoft.com/office/drawing/2014/chart" uri="{C3380CC4-5D6E-409C-BE32-E72D297353CC}">
                  <c16:uniqueId val="{00000007-D77A-4992-AD38-459EA86165E4}"/>
                </c:ext>
              </c:extLst>
            </c:dLbl>
            <c:dLbl>
              <c:idx val="4"/>
              <c:layout>
                <c:manualLayout>
                  <c:x val="-0.19271708683473393"/>
                  <c:y val="-1.5628563670920446E-2"/>
                </c:manualLayout>
              </c:layout>
              <c:showLegendKey val="0"/>
              <c:showVal val="1"/>
              <c:showCatName val="1"/>
              <c:showSerName val="0"/>
              <c:showPercent val="0"/>
              <c:showBubbleSize val="0"/>
              <c:extLst>
                <c:ext xmlns:c15="http://schemas.microsoft.com/office/drawing/2012/chart" uri="{CE6537A1-D6FC-4f65-9D91-7224C49458BB}">
                  <c15:layout>
                    <c:manualLayout>
                      <c:w val="0.21092445797216525"/>
                      <c:h val="0.10474399164054336"/>
                    </c:manualLayout>
                  </c15:layout>
                </c:ext>
                <c:ext xmlns:c16="http://schemas.microsoft.com/office/drawing/2014/chart" uri="{C3380CC4-5D6E-409C-BE32-E72D297353CC}">
                  <c16:uniqueId val="{00000009-D77A-4992-AD38-459EA86165E4}"/>
                </c:ext>
              </c:extLst>
            </c:dLbl>
            <c:dLbl>
              <c:idx val="5"/>
              <c:layout>
                <c:manualLayout>
                  <c:x val="0.21400560224089635"/>
                  <c:y val="-9.5770411143748096E-2"/>
                </c:manualLayout>
              </c:layout>
              <c:showLegendKey val="0"/>
              <c:showVal val="1"/>
              <c:showCatName val="1"/>
              <c:showSerName val="0"/>
              <c:showPercent val="0"/>
              <c:showBubbleSize val="0"/>
              <c:extLst>
                <c:ext xmlns:c15="http://schemas.microsoft.com/office/drawing/2012/chart" uri="{CE6537A1-D6FC-4f65-9D91-7224C49458BB}">
                  <c15:layout>
                    <c:manualLayout>
                      <c:w val="0.20420176889653499"/>
                      <c:h val="0.16326018808777429"/>
                    </c:manualLayout>
                  </c15:layout>
                </c:ext>
                <c:ext xmlns:c16="http://schemas.microsoft.com/office/drawing/2014/chart" uri="{C3380CC4-5D6E-409C-BE32-E72D297353CC}">
                  <c16:uniqueId val="{0000000B-D77A-4992-AD38-459EA86165E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'Ark1'!$A$2:$A$7</c:f>
              <c:strCache>
                <c:ptCount val="6"/>
                <c:pt idx="0">
                  <c:v>1-4 ansatte</c:v>
                </c:pt>
                <c:pt idx="1">
                  <c:v>5-9 ansatte</c:v>
                </c:pt>
                <c:pt idx="2">
                  <c:v>10-19 ansatte</c:v>
                </c:pt>
                <c:pt idx="3">
                  <c:v>20-49 ansatte</c:v>
                </c:pt>
                <c:pt idx="4">
                  <c:v>50-99 ansatte</c:v>
                </c:pt>
                <c:pt idx="5">
                  <c:v>100 ansatte og over</c:v>
                </c:pt>
              </c:strCache>
            </c:strRef>
          </c:cat>
          <c:val>
            <c:numRef>
              <c:f>'Ark1'!$B$2:$B$7</c:f>
              <c:numCache>
                <c:formatCode>0.0\ %</c:formatCode>
                <c:ptCount val="6"/>
                <c:pt idx="0">
                  <c:v>8.8373469764612592E-2</c:v>
                </c:pt>
                <c:pt idx="1">
                  <c:v>9.6540337384994734E-2</c:v>
                </c:pt>
                <c:pt idx="2">
                  <c:v>0.12239493379389753</c:v>
                </c:pt>
                <c:pt idx="3">
                  <c:v>0.15497604848958843</c:v>
                </c:pt>
                <c:pt idx="4">
                  <c:v>9.5477998283746646E-2</c:v>
                </c:pt>
                <c:pt idx="5">
                  <c:v>0.4422372122831601</c:v>
                </c:pt>
              </c:numCache>
            </c:numRef>
          </c:val>
          <c:extLst>
            <c:ext xmlns:c16="http://schemas.microsoft.com/office/drawing/2014/chart" uri="{C3380CC4-5D6E-409C-BE32-E72D297353CC}">
              <c16:uniqueId val="{0000000C-D77A-4992-AD38-459EA86165E4}"/>
            </c:ext>
          </c:extLst>
        </c:ser>
        <c:dLbls>
          <c:showLegendKey val="0"/>
          <c:showVal val="0"/>
          <c:showCatName val="0"/>
          <c:showSerName val="0"/>
          <c:showPercent val="0"/>
          <c:showBubbleSize val="0"/>
          <c:showLeaderLines val="1"/>
        </c:dLbls>
        <c:firstSliceAng val="90"/>
        <c:holeSize val="56"/>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'Ark1'!$B$1</c:f>
              <c:strCache>
                <c:ptCount val="1"/>
                <c:pt idx="0">
                  <c:v>1-4 ansatte</c:v>
                </c:pt>
              </c:strCache>
            </c:strRef>
          </c:tx>
          <c:spPr>
            <a:solidFill>
              <a:schemeClr val="accent1"/>
            </a:solidFill>
            <a:ln w="3175">
              <a:solidFill>
                <a:schemeClr val="tx1"/>
              </a:solidFill>
            </a:ln>
            <a:effectLst/>
          </c:spPr>
          <c:invertIfNegative val="0"/>
          <c:dLbls>
            <c:dLbl>
              <c:idx val="0"/>
              <c:layout>
                <c:manualLayout>
                  <c:x val="8.1018518518518098E-3"/>
                  <c:y val="-3.9684101987251591E-3"/>
                </c:manualLayout>
              </c:layout>
              <c:showLegendKey val="0"/>
              <c:showVal val="1"/>
              <c:showCatName val="0"/>
              <c:showSerName val="1"/>
              <c:showPercent val="0"/>
              <c:showBubbleSize val="0"/>
              <c:extLst>
                <c:ext xmlns:c15="http://schemas.microsoft.com/office/drawing/2012/chart" uri="{CE6537A1-D6FC-4f65-9D91-7224C49458BB}">
                  <c15:layout>
                    <c:manualLayout>
                      <c:w val="0.14451388888888889"/>
                      <c:h val="0.11898825146856641"/>
                    </c:manualLayout>
                  </c15:layout>
                </c:ext>
                <c:ext xmlns:c16="http://schemas.microsoft.com/office/drawing/2014/chart" uri="{C3380CC4-5D6E-409C-BE32-E72D297353CC}">
                  <c16:uniqueId val="{00000000-1ED1-4054-AB09-D568F3C56BD5}"/>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SMB-bedrifter</c:v>
                </c:pt>
                <c:pt idx="1">
                  <c:v>Bedrifter med over 100 ansatte</c:v>
                </c:pt>
              </c:strCache>
            </c:strRef>
          </c:cat>
          <c:val>
            <c:numRef>
              <c:f>'Ark1'!$B$2:$B$3</c:f>
              <c:numCache>
                <c:formatCode>General</c:formatCode>
                <c:ptCount val="2"/>
                <c:pt idx="0" formatCode="_-* #,##0_-;\-* #,##0_-;_-* &quot;-&quot;??_-;_-@_-">
                  <c:v>162715</c:v>
                </c:pt>
              </c:numCache>
            </c:numRef>
          </c:val>
          <c:extLst>
            <c:ext xmlns:c16="http://schemas.microsoft.com/office/drawing/2014/chart" uri="{C3380CC4-5D6E-409C-BE32-E72D297353CC}">
              <c16:uniqueId val="{00000001-1ED1-4054-AB09-D568F3C56BD5}"/>
            </c:ext>
          </c:extLst>
        </c:ser>
        <c:ser>
          <c:idx val="1"/>
          <c:order val="1"/>
          <c:tx>
            <c:strRef>
              <c:f>'Ark1'!$C$1</c:f>
              <c:strCache>
                <c:ptCount val="1"/>
                <c:pt idx="0">
                  <c:v>5-9 ansatte</c:v>
                </c:pt>
              </c:strCache>
            </c:strRef>
          </c:tx>
          <c:spPr>
            <a:solidFill>
              <a:schemeClr val="accent2"/>
            </a:solidFill>
            <a:ln w="3175">
              <a:solidFill>
                <a:schemeClr val="tx1"/>
              </a:solidFill>
            </a:ln>
            <a:effectLst/>
          </c:spPr>
          <c:invertIfNegative val="0"/>
          <c:dLbls>
            <c:dLbl>
              <c:idx val="0"/>
              <c:layout>
                <c:manualLayout>
                  <c:x val="4.6297207640711574E-3"/>
                  <c:y val="1.9842832145981026E-3"/>
                </c:manualLayout>
              </c:layout>
              <c:showLegendKey val="0"/>
              <c:showVal val="1"/>
              <c:showCatName val="0"/>
              <c:showSerName val="1"/>
              <c:showPercent val="0"/>
              <c:showBubbleSize val="0"/>
              <c:extLst>
                <c:ext xmlns:c15="http://schemas.microsoft.com/office/drawing/2012/chart" uri="{CE6537A1-D6FC-4f65-9D91-7224C49458BB}">
                  <c15:layout>
                    <c:manualLayout>
                      <c:w val="0.13695592738407697"/>
                      <c:h val="0.15470253718285212"/>
                    </c:manualLayout>
                  </c15:layout>
                </c:ext>
                <c:ext xmlns:c16="http://schemas.microsoft.com/office/drawing/2014/chart" uri="{C3380CC4-5D6E-409C-BE32-E72D297353CC}">
                  <c16:uniqueId val="{00000002-1ED1-4054-AB09-D568F3C56BD5}"/>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SMB-bedrifter</c:v>
                </c:pt>
                <c:pt idx="1">
                  <c:v>Bedrifter med over 100 ansatte</c:v>
                </c:pt>
              </c:strCache>
            </c:strRef>
          </c:cat>
          <c:val>
            <c:numRef>
              <c:f>'Ark1'!$C$2:$C$3</c:f>
              <c:numCache>
                <c:formatCode>General</c:formatCode>
                <c:ptCount val="2"/>
                <c:pt idx="0" formatCode="_-* #,##0_-;\-* #,##0_-;_-* &quot;-&quot;??_-;_-@_-">
                  <c:v>177752</c:v>
                </c:pt>
              </c:numCache>
            </c:numRef>
          </c:val>
          <c:extLst>
            <c:ext xmlns:c16="http://schemas.microsoft.com/office/drawing/2014/chart" uri="{C3380CC4-5D6E-409C-BE32-E72D297353CC}">
              <c16:uniqueId val="{00000003-1ED1-4054-AB09-D568F3C56BD5}"/>
            </c:ext>
          </c:extLst>
        </c:ser>
        <c:ser>
          <c:idx val="2"/>
          <c:order val="2"/>
          <c:tx>
            <c:strRef>
              <c:f>'Ark1'!$D$1</c:f>
              <c:strCache>
                <c:ptCount val="1"/>
                <c:pt idx="0">
                  <c:v>10-19 ansatte</c:v>
                </c:pt>
              </c:strCache>
            </c:strRef>
          </c:tx>
          <c:spPr>
            <a:solidFill>
              <a:schemeClr val="accent3"/>
            </a:solidFill>
            <a:ln w="3175">
              <a:solidFill>
                <a:schemeClr val="tx1"/>
              </a:solidFill>
            </a:ln>
            <a:effectLst/>
          </c:spPr>
          <c:invertIfNegative val="0"/>
          <c:dLbls>
            <c:dLbl>
              <c:idx val="0"/>
              <c:layout>
                <c:manualLayout>
                  <c:x val="-6.9443533100029195E-3"/>
                  <c:y val="-1.4692089008311033E-2"/>
                </c:manualLayout>
              </c:layout>
              <c:showLegendKey val="0"/>
              <c:showVal val="1"/>
              <c:showCatName val="0"/>
              <c:showSerName val="1"/>
              <c:showPercent val="0"/>
              <c:showBubbleSize val="0"/>
              <c:extLst>
                <c:ext xmlns:c15="http://schemas.microsoft.com/office/drawing/2012/chart" uri="{CE6537A1-D6FC-4f65-9D91-7224C49458BB}">
                  <c15:layout>
                    <c:manualLayout>
                      <c:w val="0.17261574074074071"/>
                      <c:h val="9.908734598523708E-2"/>
                    </c:manualLayout>
                  </c15:layout>
                </c:ext>
                <c:ext xmlns:c16="http://schemas.microsoft.com/office/drawing/2014/chart" uri="{C3380CC4-5D6E-409C-BE32-E72D297353CC}">
                  <c16:uniqueId val="{00000004-1ED1-4054-AB09-D568F3C56BD5}"/>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SMB-bedrifter</c:v>
                </c:pt>
                <c:pt idx="1">
                  <c:v>Bedrifter med over 100 ansatte</c:v>
                </c:pt>
              </c:strCache>
            </c:strRef>
          </c:cat>
          <c:val>
            <c:numRef>
              <c:f>'Ark1'!$D$2:$D$3</c:f>
              <c:numCache>
                <c:formatCode>General</c:formatCode>
                <c:ptCount val="2"/>
                <c:pt idx="0" formatCode="_-* #,##0_-;\-* #,##0_-;_-* &quot;-&quot;??_-;_-@_-">
                  <c:v>225356</c:v>
                </c:pt>
              </c:numCache>
            </c:numRef>
          </c:val>
          <c:extLst>
            <c:ext xmlns:c16="http://schemas.microsoft.com/office/drawing/2014/chart" uri="{C3380CC4-5D6E-409C-BE32-E72D297353CC}">
              <c16:uniqueId val="{00000005-1ED1-4054-AB09-D568F3C56BD5}"/>
            </c:ext>
          </c:extLst>
        </c:ser>
        <c:ser>
          <c:idx val="3"/>
          <c:order val="3"/>
          <c:tx>
            <c:strRef>
              <c:f>'Ark1'!$E$1</c:f>
              <c:strCache>
                <c:ptCount val="1"/>
                <c:pt idx="0">
                  <c:v>20-49 ansatte</c:v>
                </c:pt>
              </c:strCache>
            </c:strRef>
          </c:tx>
          <c:spPr>
            <a:solidFill>
              <a:schemeClr val="accent4"/>
            </a:solidFill>
            <a:ln w="3175">
              <a:solidFill>
                <a:schemeClr val="tx1"/>
              </a:solidFill>
            </a:ln>
            <a:effectLst/>
          </c:spPr>
          <c:invertIfNegative val="0"/>
          <c:dLbls>
            <c:dLbl>
              <c:idx val="0"/>
              <c:layout>
                <c:manualLayout>
                  <c:x val="4.6298118985126785E-3"/>
                  <c:y val="1.3904872564521864E-2"/>
                </c:manualLayout>
              </c:layout>
              <c:showLegendKey val="0"/>
              <c:showVal val="1"/>
              <c:showCatName val="0"/>
              <c:showSerName val="1"/>
              <c:showPercent val="0"/>
              <c:showBubbleSize val="0"/>
              <c:extLst>
                <c:ext xmlns:c15="http://schemas.microsoft.com/office/drawing/2012/chart" uri="{CE6537A1-D6FC-4f65-9D91-7224C49458BB}">
                  <c15:layout>
                    <c:manualLayout>
                      <c:w val="0.16798611111111109"/>
                      <c:h val="0.15628126913090287"/>
                    </c:manualLayout>
                  </c15:layout>
                </c:ext>
                <c:ext xmlns:c16="http://schemas.microsoft.com/office/drawing/2014/chart" uri="{C3380CC4-5D6E-409C-BE32-E72D297353CC}">
                  <c16:uniqueId val="{00000006-1ED1-4054-AB09-D568F3C56BD5}"/>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SMB-bedrifter</c:v>
                </c:pt>
                <c:pt idx="1">
                  <c:v>Bedrifter med over 100 ansatte</c:v>
                </c:pt>
              </c:strCache>
            </c:strRef>
          </c:cat>
          <c:val>
            <c:numRef>
              <c:f>'Ark1'!$E$2:$E$3</c:f>
              <c:numCache>
                <c:formatCode>General</c:formatCode>
                <c:ptCount val="2"/>
                <c:pt idx="0" formatCode="_-* #,##0_-;\-* #,##0_-;_-* &quot;-&quot;??_-;_-@_-">
                  <c:v>285345</c:v>
                </c:pt>
              </c:numCache>
            </c:numRef>
          </c:val>
          <c:extLst>
            <c:ext xmlns:c16="http://schemas.microsoft.com/office/drawing/2014/chart" uri="{C3380CC4-5D6E-409C-BE32-E72D297353CC}">
              <c16:uniqueId val="{00000007-1ED1-4054-AB09-D568F3C56BD5}"/>
            </c:ext>
          </c:extLst>
        </c:ser>
        <c:ser>
          <c:idx val="4"/>
          <c:order val="4"/>
          <c:tx>
            <c:strRef>
              <c:f>'Ark1'!$F$1</c:f>
              <c:strCache>
                <c:ptCount val="1"/>
                <c:pt idx="0">
                  <c:v>50-99 ansatte</c:v>
                </c:pt>
              </c:strCache>
            </c:strRef>
          </c:tx>
          <c:spPr>
            <a:solidFill>
              <a:schemeClr val="accent5"/>
            </a:solidFill>
            <a:ln w="3175">
              <a:solidFill>
                <a:schemeClr val="tx1"/>
              </a:solidFill>
            </a:ln>
            <a:effectLst/>
          </c:spPr>
          <c:invertIfNegative val="0"/>
          <c:dLbls>
            <c:dLbl>
              <c:idx val="0"/>
              <c:layout>
                <c:manualLayout>
                  <c:x val="8.1021252551763939E-3"/>
                  <c:y val="-3.9682539682539862E-3"/>
                </c:manualLayout>
              </c:layout>
              <c:showLegendKey val="0"/>
              <c:showVal val="1"/>
              <c:showCatName val="0"/>
              <c:showSerName val="1"/>
              <c:showPercent val="0"/>
              <c:showBubbleSize val="0"/>
              <c:extLst>
                <c:ext xmlns:c15="http://schemas.microsoft.com/office/drawing/2012/chart" uri="{CE6537A1-D6FC-4f65-9D91-7224C49458BB}">
                  <c15:layout>
                    <c:manualLayout>
                      <c:w val="0.15641203703703702"/>
                      <c:h val="9.9087301587301585E-2"/>
                    </c:manualLayout>
                  </c15:layout>
                </c:ext>
                <c:ext xmlns:c16="http://schemas.microsoft.com/office/drawing/2014/chart" uri="{C3380CC4-5D6E-409C-BE32-E72D297353CC}">
                  <c16:uniqueId val="{00000008-1ED1-4054-AB09-D568F3C56BD5}"/>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SMB-bedrifter</c:v>
                </c:pt>
                <c:pt idx="1">
                  <c:v>Bedrifter med over 100 ansatte</c:v>
                </c:pt>
              </c:strCache>
            </c:strRef>
          </c:cat>
          <c:val>
            <c:numRef>
              <c:f>'Ark1'!$F$2:$F$3</c:f>
              <c:numCache>
                <c:formatCode>General</c:formatCode>
                <c:ptCount val="2"/>
                <c:pt idx="0" formatCode="_-* #,##0_-;\-* #,##0_-;_-* &quot;-&quot;??_-;_-@_-">
                  <c:v>175796</c:v>
                </c:pt>
              </c:numCache>
            </c:numRef>
          </c:val>
          <c:extLst>
            <c:ext xmlns:c16="http://schemas.microsoft.com/office/drawing/2014/chart" uri="{C3380CC4-5D6E-409C-BE32-E72D297353CC}">
              <c16:uniqueId val="{00000009-1ED1-4054-AB09-D568F3C56BD5}"/>
            </c:ext>
          </c:extLst>
        </c:ser>
        <c:ser>
          <c:idx val="5"/>
          <c:order val="5"/>
          <c:tx>
            <c:strRef>
              <c:f>'Ark1'!$G$1</c:f>
              <c:strCache>
                <c:ptCount val="1"/>
                <c:pt idx="0">
                  <c:v>100 ansatte og over</c:v>
                </c:pt>
              </c:strCache>
            </c:strRef>
          </c:tx>
          <c:spPr>
            <a:solidFill>
              <a:schemeClr val="accent6"/>
            </a:solidFill>
            <a:ln w="3175">
              <a:solidFill>
                <a:schemeClr val="tx1"/>
              </a:solidFill>
            </a:ln>
            <a:effectLst/>
          </c:spPr>
          <c:invertIfNegative val="0"/>
          <c:dLbls>
            <c:dLbl>
              <c:idx val="1"/>
              <c:layout>
                <c:manualLayout>
                  <c:x val="-8.4875562720133283E-17"/>
                  <c:y val="-1.7873100983020553E-2"/>
                </c:manualLayout>
              </c:layout>
              <c:showLegendKey val="0"/>
              <c:showVal val="1"/>
              <c:showCatName val="0"/>
              <c:showSerName val="1"/>
              <c:showPercent val="0"/>
              <c:showBubbleSize val="0"/>
              <c:extLst>
                <c:ext xmlns:c15="http://schemas.microsoft.com/office/drawing/2012/chart" uri="{CE6537A1-D6FC-4f65-9D91-7224C49458BB}">
                  <c15:layout>
                    <c:manualLayout>
                      <c:w val="0.17392370224555265"/>
                      <c:h val="0.23256478999106345"/>
                    </c:manualLayout>
                  </c15:layout>
                </c:ext>
                <c:ext xmlns:c16="http://schemas.microsoft.com/office/drawing/2014/chart" uri="{C3380CC4-5D6E-409C-BE32-E72D297353CC}">
                  <c16:uniqueId val="{0000000A-1ED1-4054-AB09-D568F3C56BD5}"/>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SMB-bedrifter</c:v>
                </c:pt>
                <c:pt idx="1">
                  <c:v>Bedrifter med over 100 ansatte</c:v>
                </c:pt>
              </c:strCache>
            </c:strRef>
          </c:cat>
          <c:val>
            <c:numRef>
              <c:f>'Ark1'!$G$2:$G$3</c:f>
              <c:numCache>
                <c:formatCode>_-* #,##0_-;\-* #,##0_-;_-* "-"??_-;_-@_-</c:formatCode>
                <c:ptCount val="2"/>
                <c:pt idx="1">
                  <c:v>814256</c:v>
                </c:pt>
              </c:numCache>
            </c:numRef>
          </c:val>
          <c:extLst>
            <c:ext xmlns:c16="http://schemas.microsoft.com/office/drawing/2014/chart" uri="{C3380CC4-5D6E-409C-BE32-E72D297353CC}">
              <c16:uniqueId val="{0000000B-1ED1-4054-AB09-D568F3C56BD5}"/>
            </c:ext>
          </c:extLst>
        </c:ser>
        <c:ser>
          <c:idx val="6"/>
          <c:order val="6"/>
          <c:tx>
            <c:strRef>
              <c:f>'Ark1'!$H$1</c:f>
              <c:strCache>
                <c:ptCount val="1"/>
              </c:strCache>
            </c:strRef>
          </c:tx>
          <c:spPr>
            <a:solidFill>
              <a:schemeClr val="accent1">
                <a:lumMod val="60000"/>
              </a:schemeClr>
            </a:solidFill>
            <a:ln>
              <a:noFill/>
            </a:ln>
            <a:effectLst/>
          </c:spPr>
          <c:invertIfNegative val="0"/>
          <c:cat>
            <c:strRef>
              <c:f>'Ark1'!$A$2:$A$3</c:f>
              <c:strCache>
                <c:ptCount val="2"/>
                <c:pt idx="0">
                  <c:v>SMB-bedrifter</c:v>
                </c:pt>
                <c:pt idx="1">
                  <c:v>Bedrifter med over 100 ansatte</c:v>
                </c:pt>
              </c:strCache>
            </c:strRef>
          </c:cat>
          <c:val>
            <c:numRef>
              <c:f>'Ark1'!$H$2:$H$3</c:f>
              <c:numCache>
                <c:formatCode>General</c:formatCode>
                <c:ptCount val="2"/>
              </c:numCache>
            </c:numRef>
          </c:val>
          <c:extLst>
            <c:ext xmlns:c16="http://schemas.microsoft.com/office/drawing/2014/chart" uri="{C3380CC4-5D6E-409C-BE32-E72D297353CC}">
              <c16:uniqueId val="{0000000C-1ED1-4054-AB09-D568F3C56BD5}"/>
            </c:ext>
          </c:extLst>
        </c:ser>
        <c:dLbls>
          <c:showLegendKey val="0"/>
          <c:showVal val="0"/>
          <c:showCatName val="0"/>
          <c:showSerName val="0"/>
          <c:showPercent val="0"/>
          <c:showBubbleSize val="0"/>
        </c:dLbls>
        <c:gapWidth val="150"/>
        <c:overlap val="100"/>
        <c:axId val="1394743119"/>
        <c:axId val="1926925631"/>
      </c:barChart>
      <c:catAx>
        <c:axId val="1394743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crossAx val="1926925631"/>
        <c:crosses val="autoZero"/>
        <c:auto val="1"/>
        <c:lblAlgn val="ctr"/>
        <c:lblOffset val="100"/>
        <c:noMultiLvlLbl val="0"/>
      </c:catAx>
      <c:valAx>
        <c:axId val="1926925631"/>
        <c:scaling>
          <c:orientation val="minMax"/>
          <c:max val="1100000"/>
          <c:min val="0"/>
        </c:scaling>
        <c:delete val="0"/>
        <c:axPos val="l"/>
        <c:majorGridlines>
          <c:spPr>
            <a:ln w="9525" cap="flat" cmpd="sng" algn="ctr">
              <a:no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1394743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'Ark1'!$B$1</c:f>
              <c:strCache>
                <c:ptCount val="1"/>
                <c:pt idx="0">
                  <c:v>Andel</c:v>
                </c:pt>
              </c:strCache>
            </c:strRef>
          </c:tx>
          <c:spPr>
            <a:ln w="3175">
              <a:solidFill>
                <a:schemeClr val="tx1"/>
              </a:solidFill>
            </a:ln>
          </c:spPr>
          <c:dPt>
            <c:idx val="0"/>
            <c:bubble3D val="0"/>
            <c:spPr>
              <a:solidFill>
                <a:schemeClr val="accent1"/>
              </a:solidFill>
              <a:ln w="3175">
                <a:solidFill>
                  <a:schemeClr val="tx1"/>
                </a:solidFill>
              </a:ln>
              <a:effectLst/>
            </c:spPr>
            <c:extLst>
              <c:ext xmlns:c16="http://schemas.microsoft.com/office/drawing/2014/chart" uri="{C3380CC4-5D6E-409C-BE32-E72D297353CC}">
                <c16:uniqueId val="{00000001-195A-42C2-B4EE-C8CB03C3253C}"/>
              </c:ext>
            </c:extLst>
          </c:dPt>
          <c:dPt>
            <c:idx val="1"/>
            <c:bubble3D val="0"/>
            <c:spPr>
              <a:solidFill>
                <a:schemeClr val="accent2"/>
              </a:solidFill>
              <a:ln w="3175">
                <a:solidFill>
                  <a:schemeClr val="tx1"/>
                </a:solidFill>
              </a:ln>
              <a:effectLst/>
            </c:spPr>
            <c:extLst>
              <c:ext xmlns:c16="http://schemas.microsoft.com/office/drawing/2014/chart" uri="{C3380CC4-5D6E-409C-BE32-E72D297353CC}">
                <c16:uniqueId val="{00000003-195A-42C2-B4EE-C8CB03C3253C}"/>
              </c:ext>
            </c:extLst>
          </c:dPt>
          <c:dPt>
            <c:idx val="2"/>
            <c:bubble3D val="0"/>
            <c:spPr>
              <a:solidFill>
                <a:schemeClr val="accent3"/>
              </a:solidFill>
              <a:ln w="3175">
                <a:solidFill>
                  <a:schemeClr val="tx1"/>
                </a:solidFill>
              </a:ln>
              <a:effectLst/>
            </c:spPr>
            <c:extLst>
              <c:ext xmlns:c16="http://schemas.microsoft.com/office/drawing/2014/chart" uri="{C3380CC4-5D6E-409C-BE32-E72D297353CC}">
                <c16:uniqueId val="{00000005-195A-42C2-B4EE-C8CB03C3253C}"/>
              </c:ext>
            </c:extLst>
          </c:dPt>
          <c:dPt>
            <c:idx val="3"/>
            <c:bubble3D val="0"/>
            <c:spPr>
              <a:solidFill>
                <a:schemeClr val="accent4"/>
              </a:solidFill>
              <a:ln w="3175">
                <a:solidFill>
                  <a:schemeClr val="tx1"/>
                </a:solidFill>
              </a:ln>
              <a:effectLst/>
            </c:spPr>
            <c:extLst>
              <c:ext xmlns:c16="http://schemas.microsoft.com/office/drawing/2014/chart" uri="{C3380CC4-5D6E-409C-BE32-E72D297353CC}">
                <c16:uniqueId val="{00000007-195A-42C2-B4EE-C8CB03C3253C}"/>
              </c:ext>
            </c:extLst>
          </c:dPt>
          <c:dPt>
            <c:idx val="4"/>
            <c:bubble3D val="0"/>
            <c:spPr>
              <a:solidFill>
                <a:schemeClr val="accent5"/>
              </a:solidFill>
              <a:ln w="3175">
                <a:solidFill>
                  <a:schemeClr val="tx1"/>
                </a:solidFill>
              </a:ln>
              <a:effectLst/>
            </c:spPr>
            <c:extLst>
              <c:ext xmlns:c16="http://schemas.microsoft.com/office/drawing/2014/chart" uri="{C3380CC4-5D6E-409C-BE32-E72D297353CC}">
                <c16:uniqueId val="{00000009-195A-42C2-B4EE-C8CB03C3253C}"/>
              </c:ext>
            </c:extLst>
          </c:dPt>
          <c:dPt>
            <c:idx val="5"/>
            <c:bubble3D val="0"/>
            <c:spPr>
              <a:solidFill>
                <a:schemeClr val="accent6"/>
              </a:solidFill>
              <a:ln w="3175">
                <a:solidFill>
                  <a:schemeClr val="tx1"/>
                </a:solidFill>
              </a:ln>
              <a:effectLst/>
            </c:spPr>
            <c:extLst>
              <c:ext xmlns:c16="http://schemas.microsoft.com/office/drawing/2014/chart" uri="{C3380CC4-5D6E-409C-BE32-E72D297353CC}">
                <c16:uniqueId val="{0000000B-195A-42C2-B4EE-C8CB03C3253C}"/>
              </c:ext>
            </c:extLst>
          </c:dPt>
          <c:dPt>
            <c:idx val="6"/>
            <c:bubble3D val="0"/>
            <c:spPr>
              <a:solidFill>
                <a:schemeClr val="accent1">
                  <a:lumMod val="60000"/>
                </a:schemeClr>
              </a:solidFill>
              <a:ln w="3175">
                <a:solidFill>
                  <a:schemeClr val="tx1"/>
                </a:solidFill>
              </a:ln>
              <a:effectLst/>
            </c:spPr>
            <c:extLst>
              <c:ext xmlns:c16="http://schemas.microsoft.com/office/drawing/2014/chart" uri="{C3380CC4-5D6E-409C-BE32-E72D297353CC}">
                <c16:uniqueId val="{0000000D-195A-42C2-B4EE-C8CB03C3253C}"/>
              </c:ext>
            </c:extLst>
          </c:dPt>
          <c:dLbls>
            <c:dLbl>
              <c:idx val="0"/>
              <c:layout>
                <c:manualLayout>
                  <c:x val="0.20275974326738569"/>
                  <c:y val="-1.5147352504850003E-2"/>
                </c:manualLayout>
              </c:layout>
              <c:showLegendKey val="0"/>
              <c:showVal val="1"/>
              <c:showCatName val="1"/>
              <c:showSerName val="0"/>
              <c:showPercent val="0"/>
              <c:showBubbleSize val="0"/>
              <c:extLst>
                <c:ext xmlns:c15="http://schemas.microsoft.com/office/drawing/2012/chart" uri="{CE6537A1-D6FC-4f65-9D91-7224C49458BB}">
                  <c15:layout>
                    <c:manualLayout>
                      <c:w val="0.24656259113444154"/>
                      <c:h val="0.14321428571428571"/>
                    </c:manualLayout>
                  </c15:layout>
                </c:ext>
                <c:ext xmlns:c16="http://schemas.microsoft.com/office/drawing/2014/chart" uri="{C3380CC4-5D6E-409C-BE32-E72D297353CC}">
                  <c16:uniqueId val="{00000001-195A-42C2-B4EE-C8CB03C3253C}"/>
                </c:ext>
              </c:extLst>
            </c:dLbl>
            <c:dLbl>
              <c:idx val="1"/>
              <c:layout>
                <c:manualLayout>
                  <c:x val="0.22401976223560283"/>
                  <c:y val="9.9919120164327149E-2"/>
                </c:manualLayout>
              </c:layout>
              <c:showLegendKey val="0"/>
              <c:showVal val="1"/>
              <c:showCatName val="1"/>
              <c:showSerName val="0"/>
              <c:showPercent val="0"/>
              <c:showBubbleSize val="0"/>
              <c:extLst>
                <c:ext xmlns:c15="http://schemas.microsoft.com/office/drawing/2012/chart" uri="{CE6537A1-D6FC-4f65-9D91-7224C49458BB}">
                  <c15:layout>
                    <c:manualLayout>
                      <c:w val="0.24273054103531178"/>
                      <c:h val="0.20645524052576431"/>
                    </c:manualLayout>
                  </c15:layout>
                </c:ext>
                <c:ext xmlns:c16="http://schemas.microsoft.com/office/drawing/2014/chart" uri="{C3380CC4-5D6E-409C-BE32-E72D297353CC}">
                  <c16:uniqueId val="{00000003-195A-42C2-B4EE-C8CB03C3253C}"/>
                </c:ext>
              </c:extLst>
            </c:dLbl>
            <c:dLbl>
              <c:idx val="2"/>
              <c:layout>
                <c:manualLayout>
                  <c:x val="0.157983193277311"/>
                  <c:y val="0.14766475522081479"/>
                </c:manualLayout>
              </c:layout>
              <c:showLegendKey val="0"/>
              <c:showVal val="1"/>
              <c:showCatName val="1"/>
              <c:showSerName val="0"/>
              <c:showPercent val="0"/>
              <c:showBubbleSize val="0"/>
              <c:extLst>
                <c:ext xmlns:c15="http://schemas.microsoft.com/office/drawing/2012/chart" uri="{CE6537A1-D6FC-4f65-9D91-7224C49458BB}">
                  <c15:layout>
                    <c:manualLayout>
                      <c:w val="0.24675621429674233"/>
                      <c:h val="0.10474399164054336"/>
                    </c:manualLayout>
                  </c15:layout>
                </c:ext>
                <c:ext xmlns:c16="http://schemas.microsoft.com/office/drawing/2014/chart" uri="{C3380CC4-5D6E-409C-BE32-E72D297353CC}">
                  <c16:uniqueId val="{00000005-195A-42C2-B4EE-C8CB03C3253C}"/>
                </c:ext>
              </c:extLst>
            </c:dLbl>
            <c:dLbl>
              <c:idx val="3"/>
              <c:layout>
                <c:manualLayout>
                  <c:x val="-5.8263305322128894E-2"/>
                  <c:y val="0.15056088097683443"/>
                </c:manualLayout>
              </c:layout>
              <c:showLegendKey val="0"/>
              <c:showVal val="1"/>
              <c:showCatName val="1"/>
              <c:showSerName val="0"/>
              <c:showPercent val="0"/>
              <c:showBubbleSize val="0"/>
              <c:extLst>
                <c:ext xmlns:c15="http://schemas.microsoft.com/office/drawing/2012/chart" uri="{CE6537A1-D6FC-4f65-9D91-7224C49458BB}">
                  <c15:layout>
                    <c:manualLayout>
                      <c:w val="0.1907338053331569"/>
                      <c:h val="0.10474409448818897"/>
                    </c:manualLayout>
                  </c15:layout>
                </c:ext>
                <c:ext xmlns:c16="http://schemas.microsoft.com/office/drawing/2014/chart" uri="{C3380CC4-5D6E-409C-BE32-E72D297353CC}">
                  <c16:uniqueId val="{00000007-195A-42C2-B4EE-C8CB03C3253C}"/>
                </c:ext>
              </c:extLst>
            </c:dLbl>
            <c:dLbl>
              <c:idx val="4"/>
              <c:layout>
                <c:manualLayout>
                  <c:x val="-0.15798319327731092"/>
                  <c:y val="8.9443968960401687E-2"/>
                </c:manualLayout>
              </c:layout>
              <c:showLegendKey val="0"/>
              <c:showVal val="1"/>
              <c:showCatName val="1"/>
              <c:showSerName val="0"/>
              <c:showPercent val="0"/>
              <c:showBubbleSize val="0"/>
              <c:extLst>
                <c:ext xmlns:c15="http://schemas.microsoft.com/office/drawing/2012/chart" uri="{CE6537A1-D6FC-4f65-9D91-7224C49458BB}">
                  <c15:layout>
                    <c:manualLayout>
                      <c:w val="0.25350148878449019"/>
                      <c:h val="0.10474409448818897"/>
                    </c:manualLayout>
                  </c15:layout>
                </c:ext>
                <c:ext xmlns:c16="http://schemas.microsoft.com/office/drawing/2014/chart" uri="{C3380CC4-5D6E-409C-BE32-E72D297353CC}">
                  <c16:uniqueId val="{00000009-195A-42C2-B4EE-C8CB03C3253C}"/>
                </c:ext>
              </c:extLst>
            </c:dLbl>
            <c:dLbl>
              <c:idx val="5"/>
              <c:layout>
                <c:manualLayout>
                  <c:x val="-0.17366946778711484"/>
                  <c:y val="9.3020369736391655E-3"/>
                </c:manualLayout>
              </c:layout>
              <c:showLegendKey val="0"/>
              <c:showVal val="1"/>
              <c:showCatName val="1"/>
              <c:showSerName val="0"/>
              <c:showPercent val="0"/>
              <c:showBubbleSize val="0"/>
              <c:extLst>
                <c:ext xmlns:c15="http://schemas.microsoft.com/office/drawing/2012/chart" uri="{CE6537A1-D6FC-4f65-9D91-7224C49458BB}">
                  <c15:layout>
                    <c:manualLayout>
                      <c:w val="0.20420176889653499"/>
                      <c:h val="0.16326018808777429"/>
                    </c:manualLayout>
                  </c15:layout>
                </c:ext>
                <c:ext xmlns:c16="http://schemas.microsoft.com/office/drawing/2014/chart" uri="{C3380CC4-5D6E-409C-BE32-E72D297353CC}">
                  <c16:uniqueId val="{0000000B-195A-42C2-B4EE-C8CB03C3253C}"/>
                </c:ext>
              </c:extLst>
            </c:dLbl>
            <c:dLbl>
              <c:idx val="6"/>
              <c:layout>
                <c:manualLayout>
                  <c:x val="-0.27675070028011212"/>
                  <c:y val="-7.2463768115942032E-2"/>
                </c:manualLayout>
              </c:layout>
              <c:showLegendKey val="0"/>
              <c:showVal val="1"/>
              <c:showCatName val="1"/>
              <c:showSerName val="0"/>
              <c:showPercent val="0"/>
              <c:showBubbleSize val="0"/>
              <c:extLst>
                <c:ext xmlns:c15="http://schemas.microsoft.com/office/drawing/2012/chart" uri="{CE6537A1-D6FC-4f65-9D91-7224C49458BB}">
                  <c15:layout>
                    <c:manualLayout>
                      <c:w val="0.1885377269017843"/>
                      <c:h val="0.14152173913043478"/>
                    </c:manualLayout>
                  </c15:layout>
                </c:ext>
                <c:ext xmlns:c16="http://schemas.microsoft.com/office/drawing/2014/chart" uri="{C3380CC4-5D6E-409C-BE32-E72D297353CC}">
                  <c16:uniqueId val="{0000000D-195A-42C2-B4EE-C8CB03C3253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'Ark1'!$A$2:$A$8</c:f>
              <c:strCache>
                <c:ptCount val="7"/>
                <c:pt idx="0">
                  <c:v>1-4 ansatte</c:v>
                </c:pt>
                <c:pt idx="1">
                  <c:v>5-9 ansatte</c:v>
                </c:pt>
                <c:pt idx="2">
                  <c:v>10-19 ansatte</c:v>
                </c:pt>
                <c:pt idx="3">
                  <c:v>20-49 ansatte</c:v>
                </c:pt>
                <c:pt idx="4">
                  <c:v>50-99 ansatte</c:v>
                </c:pt>
                <c:pt idx="5">
                  <c:v>100-249 ansatte</c:v>
                </c:pt>
                <c:pt idx="6">
                  <c:v>250 ansatte og over</c:v>
                </c:pt>
              </c:strCache>
            </c:strRef>
          </c:cat>
          <c:val>
            <c:numRef>
              <c:f>'Ark1'!$B$2:$B$8</c:f>
              <c:numCache>
                <c:formatCode>0.0\ %</c:formatCode>
                <c:ptCount val="7"/>
                <c:pt idx="0">
                  <c:v>8.0916901788761403E-2</c:v>
                </c:pt>
                <c:pt idx="1">
                  <c:v>6.3296526838342027E-2</c:v>
                </c:pt>
                <c:pt idx="2">
                  <c:v>9.2346654871844666E-2</c:v>
                </c:pt>
                <c:pt idx="3">
                  <c:v>0.12212978313266253</c:v>
                </c:pt>
                <c:pt idx="4">
                  <c:v>8.7798342325560205E-2</c:v>
                </c:pt>
                <c:pt idx="5">
                  <c:v>0.12881147102558682</c:v>
                </c:pt>
                <c:pt idx="6">
                  <c:v>0.42470032001724234</c:v>
                </c:pt>
              </c:numCache>
            </c:numRef>
          </c:val>
          <c:extLst>
            <c:ext xmlns:c16="http://schemas.microsoft.com/office/drawing/2014/chart" uri="{C3380CC4-5D6E-409C-BE32-E72D297353CC}">
              <c16:uniqueId val="{0000000E-195A-42C2-B4EE-C8CB03C3253C}"/>
            </c:ext>
          </c:extLst>
        </c:ser>
        <c:dLbls>
          <c:showLegendKey val="0"/>
          <c:showVal val="0"/>
          <c:showCatName val="0"/>
          <c:showSerName val="0"/>
          <c:showPercent val="0"/>
          <c:showBubbleSize val="0"/>
          <c:showLeaderLines val="1"/>
        </c:dLbls>
        <c:firstSliceAng val="90"/>
        <c:holeSize val="56"/>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'Ark1'!$B$1</c:f>
              <c:strCache>
                <c:ptCount val="1"/>
                <c:pt idx="0">
                  <c:v>1-4 ansatte</c:v>
                </c:pt>
              </c:strCache>
            </c:strRef>
          </c:tx>
          <c:spPr>
            <a:solidFill>
              <a:schemeClr val="accent1"/>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SMB-bedrifter</c:v>
                </c:pt>
                <c:pt idx="1">
                  <c:v>Bedrifter med over 100 ansatte</c:v>
                </c:pt>
              </c:strCache>
            </c:strRef>
          </c:cat>
          <c:val>
            <c:numRef>
              <c:f>'Ark1'!$B$2:$B$3</c:f>
              <c:numCache>
                <c:formatCode>General</c:formatCode>
                <c:ptCount val="2"/>
                <c:pt idx="0" formatCode="_-* #,##0_-;\-* #,##0_-;_-* &quot;-&quot;??_-;_-@_-">
                  <c:v>443031491000</c:v>
                </c:pt>
              </c:numCache>
            </c:numRef>
          </c:val>
          <c:extLst>
            <c:ext xmlns:c16="http://schemas.microsoft.com/office/drawing/2014/chart" uri="{C3380CC4-5D6E-409C-BE32-E72D297353CC}">
              <c16:uniqueId val="{00000000-4EBF-48D1-A312-6885A27B4EC7}"/>
            </c:ext>
          </c:extLst>
        </c:ser>
        <c:ser>
          <c:idx val="1"/>
          <c:order val="1"/>
          <c:tx>
            <c:strRef>
              <c:f>'Ark1'!$C$1</c:f>
              <c:strCache>
                <c:ptCount val="1"/>
                <c:pt idx="0">
                  <c:v>5-9 ansatte</c:v>
                </c:pt>
              </c:strCache>
            </c:strRef>
          </c:tx>
          <c:spPr>
            <a:solidFill>
              <a:schemeClr val="accent2"/>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SMB-bedrifter</c:v>
                </c:pt>
                <c:pt idx="1">
                  <c:v>Bedrifter med over 100 ansatte</c:v>
                </c:pt>
              </c:strCache>
            </c:strRef>
          </c:cat>
          <c:val>
            <c:numRef>
              <c:f>'Ark1'!$C$2:$C$3</c:f>
              <c:numCache>
                <c:formatCode>General</c:formatCode>
                <c:ptCount val="2"/>
                <c:pt idx="0" formatCode="_-* #,##0_-;\-* #,##0_-;_-* &quot;-&quot;??_-;_-@_-">
                  <c:v>346557444000</c:v>
                </c:pt>
              </c:numCache>
            </c:numRef>
          </c:val>
          <c:extLst>
            <c:ext xmlns:c16="http://schemas.microsoft.com/office/drawing/2014/chart" uri="{C3380CC4-5D6E-409C-BE32-E72D297353CC}">
              <c16:uniqueId val="{00000001-4EBF-48D1-A312-6885A27B4EC7}"/>
            </c:ext>
          </c:extLst>
        </c:ser>
        <c:ser>
          <c:idx val="2"/>
          <c:order val="2"/>
          <c:tx>
            <c:strRef>
              <c:f>'Ark1'!$D$1</c:f>
              <c:strCache>
                <c:ptCount val="1"/>
                <c:pt idx="0">
                  <c:v>10-19 ansatte</c:v>
                </c:pt>
              </c:strCache>
            </c:strRef>
          </c:tx>
          <c:spPr>
            <a:solidFill>
              <a:schemeClr val="accent3"/>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SMB-bedrifter</c:v>
                </c:pt>
                <c:pt idx="1">
                  <c:v>Bedrifter med over 100 ansatte</c:v>
                </c:pt>
              </c:strCache>
            </c:strRef>
          </c:cat>
          <c:val>
            <c:numRef>
              <c:f>'Ark1'!$D$2:$D$3</c:f>
              <c:numCache>
                <c:formatCode>General</c:formatCode>
                <c:ptCount val="2"/>
                <c:pt idx="0" formatCode="_-* #,##0_-;\-* #,##0_-;_-* &quot;-&quot;??_-;_-@_-">
                  <c:v>505611007000</c:v>
                </c:pt>
              </c:numCache>
            </c:numRef>
          </c:val>
          <c:extLst>
            <c:ext xmlns:c16="http://schemas.microsoft.com/office/drawing/2014/chart" uri="{C3380CC4-5D6E-409C-BE32-E72D297353CC}">
              <c16:uniqueId val="{00000002-4EBF-48D1-A312-6885A27B4EC7}"/>
            </c:ext>
          </c:extLst>
        </c:ser>
        <c:ser>
          <c:idx val="3"/>
          <c:order val="3"/>
          <c:tx>
            <c:strRef>
              <c:f>'Ark1'!$E$1</c:f>
              <c:strCache>
                <c:ptCount val="1"/>
                <c:pt idx="0">
                  <c:v>20-49 ansatte</c:v>
                </c:pt>
              </c:strCache>
            </c:strRef>
          </c:tx>
          <c:spPr>
            <a:solidFill>
              <a:schemeClr val="accent4"/>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SMB-bedrifter</c:v>
                </c:pt>
                <c:pt idx="1">
                  <c:v>Bedrifter med over 100 ansatte</c:v>
                </c:pt>
              </c:strCache>
            </c:strRef>
          </c:cat>
          <c:val>
            <c:numRef>
              <c:f>'Ark1'!$E$2:$E$3</c:f>
              <c:numCache>
                <c:formatCode>General</c:formatCode>
                <c:ptCount val="2"/>
                <c:pt idx="0" formatCode="_-* #,##0_-;\-* #,##0_-;_-* &quot;-&quot;??_-;_-@_-">
                  <c:v>668677850000</c:v>
                </c:pt>
              </c:numCache>
            </c:numRef>
          </c:val>
          <c:extLst>
            <c:ext xmlns:c16="http://schemas.microsoft.com/office/drawing/2014/chart" uri="{C3380CC4-5D6E-409C-BE32-E72D297353CC}">
              <c16:uniqueId val="{00000003-4EBF-48D1-A312-6885A27B4EC7}"/>
            </c:ext>
          </c:extLst>
        </c:ser>
        <c:ser>
          <c:idx val="4"/>
          <c:order val="4"/>
          <c:tx>
            <c:strRef>
              <c:f>'Ark1'!$F$1</c:f>
              <c:strCache>
                <c:ptCount val="1"/>
                <c:pt idx="0">
                  <c:v>50-99 ansatte</c:v>
                </c:pt>
              </c:strCache>
            </c:strRef>
          </c:tx>
          <c:spPr>
            <a:solidFill>
              <a:schemeClr val="accent5"/>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SMB-bedrifter</c:v>
                </c:pt>
                <c:pt idx="1">
                  <c:v>Bedrifter med over 100 ansatte</c:v>
                </c:pt>
              </c:strCache>
            </c:strRef>
          </c:cat>
          <c:val>
            <c:numRef>
              <c:f>'Ark1'!$F$2:$F$3</c:f>
              <c:numCache>
                <c:formatCode>General</c:formatCode>
                <c:ptCount val="2"/>
                <c:pt idx="0" formatCode="_-* #,##0_-;\-* #,##0_-;_-* &quot;-&quot;??_-;_-@_-">
                  <c:v>480708352000</c:v>
                </c:pt>
              </c:numCache>
            </c:numRef>
          </c:val>
          <c:extLst>
            <c:ext xmlns:c16="http://schemas.microsoft.com/office/drawing/2014/chart" uri="{C3380CC4-5D6E-409C-BE32-E72D297353CC}">
              <c16:uniqueId val="{00000004-4EBF-48D1-A312-6885A27B4EC7}"/>
            </c:ext>
          </c:extLst>
        </c:ser>
        <c:ser>
          <c:idx val="5"/>
          <c:order val="5"/>
          <c:tx>
            <c:strRef>
              <c:f>'Ark1'!$G$1</c:f>
              <c:strCache>
                <c:ptCount val="1"/>
                <c:pt idx="0">
                  <c:v>100-249 ansatte</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SMB-bedrifter</c:v>
                </c:pt>
                <c:pt idx="1">
                  <c:v>Bedrifter med over 100 ansatte</c:v>
                </c:pt>
              </c:strCache>
            </c:strRef>
          </c:cat>
          <c:val>
            <c:numRef>
              <c:f>'Ark1'!$G$2:$G$3</c:f>
              <c:numCache>
                <c:formatCode>_-* #,##0_-;\-* #,##0_-;_-* "-"??_-;_-@_-</c:formatCode>
                <c:ptCount val="2"/>
                <c:pt idx="1">
                  <c:v>705261037000</c:v>
                </c:pt>
              </c:numCache>
            </c:numRef>
          </c:val>
          <c:extLst>
            <c:ext xmlns:c16="http://schemas.microsoft.com/office/drawing/2014/chart" uri="{C3380CC4-5D6E-409C-BE32-E72D297353CC}">
              <c16:uniqueId val="{00000005-4EBF-48D1-A312-6885A27B4EC7}"/>
            </c:ext>
          </c:extLst>
        </c:ser>
        <c:ser>
          <c:idx val="6"/>
          <c:order val="6"/>
          <c:tx>
            <c:strRef>
              <c:f>'Ark1'!$H$1</c:f>
              <c:strCache>
                <c:ptCount val="1"/>
                <c:pt idx="0">
                  <c:v>250 ansatte og over</c:v>
                </c:pt>
              </c:strCache>
            </c:strRef>
          </c:tx>
          <c:spPr>
            <a:solidFill>
              <a:schemeClr val="accent1">
                <a:lumMod val="60000"/>
              </a:schemeClr>
            </a:solidFill>
            <a:ln w="3175">
              <a:solidFill>
                <a:schemeClr val="tx1"/>
              </a:solidFill>
            </a:ln>
            <a:effectLst/>
          </c:spPr>
          <c:invertIfNegative val="0"/>
          <c:dLbls>
            <c:dLbl>
              <c:idx val="1"/>
              <c:layout>
                <c:manualLayout>
                  <c:x val="4.6296296296294602E-3"/>
                  <c:y val="-7.9366641669791644E-3"/>
                </c:manualLayout>
              </c:layout>
              <c:showLegendKey val="0"/>
              <c:showVal val="1"/>
              <c:showCatName val="0"/>
              <c:showSerName val="1"/>
              <c:showPercent val="0"/>
              <c:showBubbleSize val="0"/>
              <c:extLst>
                <c:ext xmlns:c15="http://schemas.microsoft.com/office/drawing/2012/chart" uri="{CE6537A1-D6FC-4f65-9D91-7224C49458BB}">
                  <c15:layout>
                    <c:manualLayout>
                      <c:w val="0.11328703703703703"/>
                      <c:h val="0.28996031746031742"/>
                    </c:manualLayout>
                  </c15:layout>
                </c:ext>
                <c:ext xmlns:c16="http://schemas.microsoft.com/office/drawing/2014/chart" uri="{C3380CC4-5D6E-409C-BE32-E72D297353CC}">
                  <c16:uniqueId val="{00000006-4EBF-48D1-A312-6885A27B4EC7}"/>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SMB-bedrifter</c:v>
                </c:pt>
                <c:pt idx="1">
                  <c:v>Bedrifter med over 100 ansatte</c:v>
                </c:pt>
              </c:strCache>
            </c:strRef>
          </c:cat>
          <c:val>
            <c:numRef>
              <c:f>'Ark1'!$H$2:$H$3</c:f>
              <c:numCache>
                <c:formatCode>_-* #,##0_-;\-* #,##0_-;_-* "-"??_-;_-@_-</c:formatCode>
                <c:ptCount val="2"/>
                <c:pt idx="1">
                  <c:v>2325294368000</c:v>
                </c:pt>
              </c:numCache>
            </c:numRef>
          </c:val>
          <c:extLst>
            <c:ext xmlns:c16="http://schemas.microsoft.com/office/drawing/2014/chart" uri="{C3380CC4-5D6E-409C-BE32-E72D297353CC}">
              <c16:uniqueId val="{00000007-4EBF-48D1-A312-6885A27B4EC7}"/>
            </c:ext>
          </c:extLst>
        </c:ser>
        <c:dLbls>
          <c:showLegendKey val="0"/>
          <c:showVal val="0"/>
          <c:showCatName val="0"/>
          <c:showSerName val="0"/>
          <c:showPercent val="0"/>
          <c:showBubbleSize val="0"/>
        </c:dLbls>
        <c:gapWidth val="150"/>
        <c:overlap val="100"/>
        <c:axId val="821773471"/>
        <c:axId val="1915351327"/>
      </c:barChart>
      <c:catAx>
        <c:axId val="82177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crossAx val="1915351327"/>
        <c:crosses val="autoZero"/>
        <c:auto val="1"/>
        <c:lblAlgn val="ctr"/>
        <c:lblOffset val="100"/>
        <c:noMultiLvlLbl val="0"/>
      </c:catAx>
      <c:valAx>
        <c:axId val="1915351327"/>
        <c:scaling>
          <c:orientation val="minMax"/>
          <c:max val="3100000000000"/>
          <c:min val="0"/>
        </c:scaling>
        <c:delete val="0"/>
        <c:axPos val="l"/>
        <c:majorGridlines>
          <c:spPr>
            <a:ln w="9525" cap="flat" cmpd="sng" algn="ctr">
              <a:no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821773471"/>
        <c:crosses val="autoZero"/>
        <c:crossBetween val="between"/>
        <c:dispUnits>
          <c:builtInUnit val="billions"/>
          <c:dispUnitsLbl>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endParaRPr lang="nb-NO"/>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05686789151356"/>
          <c:y val="3.609220959398745E-2"/>
          <c:w val="0.62958757655293085"/>
          <c:h val="0.91120437833252177"/>
        </c:manualLayout>
      </c:layout>
      <c:barChart>
        <c:barDir val="bar"/>
        <c:grouping val="clustered"/>
        <c:varyColors val="0"/>
        <c:ser>
          <c:idx val="0"/>
          <c:order val="0"/>
          <c:tx>
            <c:strRef>
              <c:f>'Ark1'!$B$1</c:f>
              <c:strCache>
                <c:ptCount val="1"/>
                <c:pt idx="0">
                  <c:v>1-4 ansatte</c:v>
                </c:pt>
              </c:strCache>
            </c:strRef>
          </c:tx>
          <c:spPr>
            <a:solidFill>
              <a:schemeClr val="accent1"/>
            </a:solidFill>
            <a:ln w="3175">
              <a:solidFill>
                <a:schemeClr val="tx1"/>
              </a:solidFill>
            </a:ln>
            <a:effectLst/>
          </c:spPr>
          <c:invertIfNegative val="0"/>
          <c:cat>
            <c:strRef>
              <c:f>'Ark1'!$A$2:$A$15</c:f>
              <c:strCache>
                <c:ptCount val="14"/>
                <c:pt idx="0">
                  <c:v>Jordbruk, skogbruk og fiske</c:v>
                </c:pt>
                <c:pt idx="1">
                  <c:v>Industri</c:v>
                </c:pt>
                <c:pt idx="2">
                  <c:v>Bygge- og anleggsvirksomhet</c:v>
                </c:pt>
                <c:pt idx="3">
                  <c:v>Varehandel</c:v>
                </c:pt>
                <c:pt idx="4">
                  <c:v>Transport og lagring</c:v>
                </c:pt>
                <c:pt idx="5">
                  <c:v>Overnatting og servering</c:v>
                </c:pt>
                <c:pt idx="6">
                  <c:v>Informasjon og kommunikasjon</c:v>
                </c:pt>
                <c:pt idx="7">
                  <c:v>Omsetning og drift av fast eiendom</c:v>
                </c:pt>
                <c:pt idx="8">
                  <c:v>Faglig tjenesteyting</c:v>
                </c:pt>
                <c:pt idx="9">
                  <c:v>Forretningsmessig tjenesteyting</c:v>
                </c:pt>
                <c:pt idx="10">
                  <c:v>Undervisning</c:v>
                </c:pt>
                <c:pt idx="11">
                  <c:v>Helse- og sosialtjenester</c:v>
                </c:pt>
                <c:pt idx="12">
                  <c:v>Kultur, underholdning og fritid</c:v>
                </c:pt>
                <c:pt idx="13">
                  <c:v>Personlig tjenesteyting</c:v>
                </c:pt>
              </c:strCache>
            </c:strRef>
          </c:cat>
          <c:val>
            <c:numRef>
              <c:f>'Ark1'!$B$2:$B$15</c:f>
              <c:numCache>
                <c:formatCode>_-* #,##0_-;\-* #,##0_-;_-* "-"??_-;_-@_-</c:formatCode>
                <c:ptCount val="14"/>
                <c:pt idx="0">
                  <c:v>5963</c:v>
                </c:pt>
                <c:pt idx="1">
                  <c:v>3846</c:v>
                </c:pt>
                <c:pt idx="2">
                  <c:v>14315</c:v>
                </c:pt>
                <c:pt idx="3">
                  <c:v>16361</c:v>
                </c:pt>
                <c:pt idx="4">
                  <c:v>6556</c:v>
                </c:pt>
                <c:pt idx="5">
                  <c:v>3815</c:v>
                </c:pt>
                <c:pt idx="6">
                  <c:v>4598</c:v>
                </c:pt>
                <c:pt idx="7">
                  <c:v>6372</c:v>
                </c:pt>
                <c:pt idx="8">
                  <c:v>13158</c:v>
                </c:pt>
                <c:pt idx="9">
                  <c:v>4719</c:v>
                </c:pt>
                <c:pt idx="10">
                  <c:v>1915</c:v>
                </c:pt>
                <c:pt idx="11">
                  <c:v>8105</c:v>
                </c:pt>
                <c:pt idx="12">
                  <c:v>2336</c:v>
                </c:pt>
                <c:pt idx="13">
                  <c:v>5006</c:v>
                </c:pt>
              </c:numCache>
            </c:numRef>
          </c:val>
          <c:extLst>
            <c:ext xmlns:c16="http://schemas.microsoft.com/office/drawing/2014/chart" uri="{C3380CC4-5D6E-409C-BE32-E72D297353CC}">
              <c16:uniqueId val="{00000000-D522-42AF-BD65-FF2F4B193E8D}"/>
            </c:ext>
          </c:extLst>
        </c:ser>
        <c:ser>
          <c:idx val="1"/>
          <c:order val="1"/>
          <c:tx>
            <c:strRef>
              <c:f>'Ark1'!$C$1</c:f>
              <c:strCache>
                <c:ptCount val="1"/>
                <c:pt idx="0">
                  <c:v>5-9 ansatte</c:v>
                </c:pt>
              </c:strCache>
            </c:strRef>
          </c:tx>
          <c:spPr>
            <a:solidFill>
              <a:schemeClr val="accent2"/>
            </a:solidFill>
            <a:ln w="3175">
              <a:solidFill>
                <a:schemeClr val="tx1"/>
              </a:solidFill>
            </a:ln>
            <a:effectLst/>
          </c:spPr>
          <c:invertIfNegative val="0"/>
          <c:cat>
            <c:strRef>
              <c:f>'Ark1'!$A$2:$A$15</c:f>
              <c:strCache>
                <c:ptCount val="14"/>
                <c:pt idx="0">
                  <c:v>Jordbruk, skogbruk og fiske</c:v>
                </c:pt>
                <c:pt idx="1">
                  <c:v>Industri</c:v>
                </c:pt>
                <c:pt idx="2">
                  <c:v>Bygge- og anleggsvirksomhet</c:v>
                </c:pt>
                <c:pt idx="3">
                  <c:v>Varehandel</c:v>
                </c:pt>
                <c:pt idx="4">
                  <c:v>Transport og lagring</c:v>
                </c:pt>
                <c:pt idx="5">
                  <c:v>Overnatting og servering</c:v>
                </c:pt>
                <c:pt idx="6">
                  <c:v>Informasjon og kommunikasjon</c:v>
                </c:pt>
                <c:pt idx="7">
                  <c:v>Omsetning og drift av fast eiendom</c:v>
                </c:pt>
                <c:pt idx="8">
                  <c:v>Faglig tjenesteyting</c:v>
                </c:pt>
                <c:pt idx="9">
                  <c:v>Forretningsmessig tjenesteyting</c:v>
                </c:pt>
                <c:pt idx="10">
                  <c:v>Undervisning</c:v>
                </c:pt>
                <c:pt idx="11">
                  <c:v>Helse- og sosialtjenester</c:v>
                </c:pt>
                <c:pt idx="12">
                  <c:v>Kultur, underholdning og fritid</c:v>
                </c:pt>
                <c:pt idx="13">
                  <c:v>Personlig tjenesteyting</c:v>
                </c:pt>
              </c:strCache>
            </c:strRef>
          </c:cat>
          <c:val>
            <c:numRef>
              <c:f>'Ark1'!$C$2:$C$15</c:f>
              <c:numCache>
                <c:formatCode>_-* #,##0_-;\-* #,##0_-;_-* "-"??_-;_-@_-</c:formatCode>
                <c:ptCount val="14"/>
                <c:pt idx="0">
                  <c:v>681</c:v>
                </c:pt>
                <c:pt idx="1">
                  <c:v>1860</c:v>
                </c:pt>
                <c:pt idx="2">
                  <c:v>4941</c:v>
                </c:pt>
                <c:pt idx="3">
                  <c:v>13330</c:v>
                </c:pt>
                <c:pt idx="4">
                  <c:v>1832</c:v>
                </c:pt>
                <c:pt idx="5">
                  <c:v>2619</c:v>
                </c:pt>
                <c:pt idx="6">
                  <c:v>1152</c:v>
                </c:pt>
                <c:pt idx="7">
                  <c:v>1003</c:v>
                </c:pt>
                <c:pt idx="8">
                  <c:v>2886</c:v>
                </c:pt>
                <c:pt idx="9">
                  <c:v>1584</c:v>
                </c:pt>
                <c:pt idx="10">
                  <c:v>818</c:v>
                </c:pt>
                <c:pt idx="11">
                  <c:v>4302</c:v>
                </c:pt>
                <c:pt idx="12">
                  <c:v>757</c:v>
                </c:pt>
                <c:pt idx="13">
                  <c:v>1803</c:v>
                </c:pt>
              </c:numCache>
            </c:numRef>
          </c:val>
          <c:extLst>
            <c:ext xmlns:c16="http://schemas.microsoft.com/office/drawing/2014/chart" uri="{C3380CC4-5D6E-409C-BE32-E72D297353CC}">
              <c16:uniqueId val="{00000001-D522-42AF-BD65-FF2F4B193E8D}"/>
            </c:ext>
          </c:extLst>
        </c:ser>
        <c:ser>
          <c:idx val="2"/>
          <c:order val="2"/>
          <c:tx>
            <c:strRef>
              <c:f>'Ark1'!$D$1</c:f>
              <c:strCache>
                <c:ptCount val="1"/>
                <c:pt idx="0">
                  <c:v>10-19 ansatte</c:v>
                </c:pt>
              </c:strCache>
            </c:strRef>
          </c:tx>
          <c:spPr>
            <a:solidFill>
              <a:schemeClr val="accent3"/>
            </a:solidFill>
            <a:ln w="3175">
              <a:solidFill>
                <a:schemeClr val="tx1"/>
              </a:solidFill>
            </a:ln>
            <a:effectLst/>
          </c:spPr>
          <c:invertIfNegative val="0"/>
          <c:cat>
            <c:strRef>
              <c:f>'Ark1'!$A$2:$A$15</c:f>
              <c:strCache>
                <c:ptCount val="14"/>
                <c:pt idx="0">
                  <c:v>Jordbruk, skogbruk og fiske</c:v>
                </c:pt>
                <c:pt idx="1">
                  <c:v>Industri</c:v>
                </c:pt>
                <c:pt idx="2">
                  <c:v>Bygge- og anleggsvirksomhet</c:v>
                </c:pt>
                <c:pt idx="3">
                  <c:v>Varehandel</c:v>
                </c:pt>
                <c:pt idx="4">
                  <c:v>Transport og lagring</c:v>
                </c:pt>
                <c:pt idx="5">
                  <c:v>Overnatting og servering</c:v>
                </c:pt>
                <c:pt idx="6">
                  <c:v>Informasjon og kommunikasjon</c:v>
                </c:pt>
                <c:pt idx="7">
                  <c:v>Omsetning og drift av fast eiendom</c:v>
                </c:pt>
                <c:pt idx="8">
                  <c:v>Faglig tjenesteyting</c:v>
                </c:pt>
                <c:pt idx="9">
                  <c:v>Forretningsmessig tjenesteyting</c:v>
                </c:pt>
                <c:pt idx="10">
                  <c:v>Undervisning</c:v>
                </c:pt>
                <c:pt idx="11">
                  <c:v>Helse- og sosialtjenester</c:v>
                </c:pt>
                <c:pt idx="12">
                  <c:v>Kultur, underholdning og fritid</c:v>
                </c:pt>
                <c:pt idx="13">
                  <c:v>Personlig tjenesteyting</c:v>
                </c:pt>
              </c:strCache>
            </c:strRef>
          </c:cat>
          <c:val>
            <c:numRef>
              <c:f>'Ark1'!$D$2:$D$15</c:f>
              <c:numCache>
                <c:formatCode>_-* #,##0_-;\-* #,##0_-;_-* "-"??_-;_-@_-</c:formatCode>
                <c:ptCount val="14"/>
                <c:pt idx="0">
                  <c:v>420</c:v>
                </c:pt>
                <c:pt idx="1">
                  <c:v>1661</c:v>
                </c:pt>
                <c:pt idx="2">
                  <c:v>3355</c:v>
                </c:pt>
                <c:pt idx="3">
                  <c:v>8165</c:v>
                </c:pt>
                <c:pt idx="4">
                  <c:v>1151</c:v>
                </c:pt>
                <c:pt idx="5">
                  <c:v>2173</c:v>
                </c:pt>
                <c:pt idx="6">
                  <c:v>865</c:v>
                </c:pt>
                <c:pt idx="7">
                  <c:v>354</c:v>
                </c:pt>
                <c:pt idx="8">
                  <c:v>1694</c:v>
                </c:pt>
                <c:pt idx="9">
                  <c:v>1091</c:v>
                </c:pt>
                <c:pt idx="10">
                  <c:v>989</c:v>
                </c:pt>
                <c:pt idx="11">
                  <c:v>5089</c:v>
                </c:pt>
                <c:pt idx="12">
                  <c:v>635</c:v>
                </c:pt>
                <c:pt idx="13">
                  <c:v>744</c:v>
                </c:pt>
              </c:numCache>
            </c:numRef>
          </c:val>
          <c:extLst>
            <c:ext xmlns:c16="http://schemas.microsoft.com/office/drawing/2014/chart" uri="{C3380CC4-5D6E-409C-BE32-E72D297353CC}">
              <c16:uniqueId val="{00000002-D522-42AF-BD65-FF2F4B193E8D}"/>
            </c:ext>
          </c:extLst>
        </c:ser>
        <c:ser>
          <c:idx val="3"/>
          <c:order val="3"/>
          <c:tx>
            <c:strRef>
              <c:f>'Ark1'!$E$1</c:f>
              <c:strCache>
                <c:ptCount val="1"/>
                <c:pt idx="0">
                  <c:v>20-49 ansatte</c:v>
                </c:pt>
              </c:strCache>
            </c:strRef>
          </c:tx>
          <c:spPr>
            <a:solidFill>
              <a:schemeClr val="accent4"/>
            </a:solidFill>
            <a:ln w="3175">
              <a:solidFill>
                <a:schemeClr val="tx1"/>
              </a:solidFill>
            </a:ln>
            <a:effectLst/>
          </c:spPr>
          <c:invertIfNegative val="0"/>
          <c:cat>
            <c:strRef>
              <c:f>'Ark1'!$A$2:$A$15</c:f>
              <c:strCache>
                <c:ptCount val="14"/>
                <c:pt idx="0">
                  <c:v>Jordbruk, skogbruk og fiske</c:v>
                </c:pt>
                <c:pt idx="1">
                  <c:v>Industri</c:v>
                </c:pt>
                <c:pt idx="2">
                  <c:v>Bygge- og anleggsvirksomhet</c:v>
                </c:pt>
                <c:pt idx="3">
                  <c:v>Varehandel</c:v>
                </c:pt>
                <c:pt idx="4">
                  <c:v>Transport og lagring</c:v>
                </c:pt>
                <c:pt idx="5">
                  <c:v>Overnatting og servering</c:v>
                </c:pt>
                <c:pt idx="6">
                  <c:v>Informasjon og kommunikasjon</c:v>
                </c:pt>
                <c:pt idx="7">
                  <c:v>Omsetning og drift av fast eiendom</c:v>
                </c:pt>
                <c:pt idx="8">
                  <c:v>Faglig tjenesteyting</c:v>
                </c:pt>
                <c:pt idx="9">
                  <c:v>Forretningsmessig tjenesteyting</c:v>
                </c:pt>
                <c:pt idx="10">
                  <c:v>Undervisning</c:v>
                </c:pt>
                <c:pt idx="11">
                  <c:v>Helse- og sosialtjenester</c:v>
                </c:pt>
                <c:pt idx="12">
                  <c:v>Kultur, underholdning og fritid</c:v>
                </c:pt>
                <c:pt idx="13">
                  <c:v>Personlig tjenesteyting</c:v>
                </c:pt>
              </c:strCache>
            </c:strRef>
          </c:cat>
          <c:val>
            <c:numRef>
              <c:f>'Ark1'!$E$2:$E$15</c:f>
              <c:numCache>
                <c:formatCode>_-* #,##0_-;\-* #,##0_-;_-* "-"??_-;_-@_-</c:formatCode>
                <c:ptCount val="14"/>
                <c:pt idx="0">
                  <c:v>201</c:v>
                </c:pt>
                <c:pt idx="1">
                  <c:v>1345</c:v>
                </c:pt>
                <c:pt idx="2">
                  <c:v>2158</c:v>
                </c:pt>
                <c:pt idx="3">
                  <c:v>2793</c:v>
                </c:pt>
                <c:pt idx="4">
                  <c:v>833</c:v>
                </c:pt>
                <c:pt idx="5">
                  <c:v>1177</c:v>
                </c:pt>
                <c:pt idx="6">
                  <c:v>629</c:v>
                </c:pt>
                <c:pt idx="7">
                  <c:v>114</c:v>
                </c:pt>
                <c:pt idx="8">
                  <c:v>913</c:v>
                </c:pt>
                <c:pt idx="9">
                  <c:v>978</c:v>
                </c:pt>
                <c:pt idx="10">
                  <c:v>1748</c:v>
                </c:pt>
                <c:pt idx="11">
                  <c:v>5744</c:v>
                </c:pt>
                <c:pt idx="12">
                  <c:v>528</c:v>
                </c:pt>
                <c:pt idx="13">
                  <c:v>309</c:v>
                </c:pt>
              </c:numCache>
            </c:numRef>
          </c:val>
          <c:extLst>
            <c:ext xmlns:c16="http://schemas.microsoft.com/office/drawing/2014/chart" uri="{C3380CC4-5D6E-409C-BE32-E72D297353CC}">
              <c16:uniqueId val="{00000003-D522-42AF-BD65-FF2F4B193E8D}"/>
            </c:ext>
          </c:extLst>
        </c:ser>
        <c:ser>
          <c:idx val="4"/>
          <c:order val="4"/>
          <c:tx>
            <c:strRef>
              <c:f>'Ark1'!$F$1</c:f>
              <c:strCache>
                <c:ptCount val="1"/>
                <c:pt idx="0">
                  <c:v>50-99 ansatte</c:v>
                </c:pt>
              </c:strCache>
            </c:strRef>
          </c:tx>
          <c:spPr>
            <a:solidFill>
              <a:schemeClr val="accent5"/>
            </a:solidFill>
            <a:ln>
              <a:noFill/>
            </a:ln>
            <a:effectLst/>
          </c:spPr>
          <c:invertIfNegative val="0"/>
          <c:cat>
            <c:strRef>
              <c:f>'Ark1'!$A$2:$A$15</c:f>
              <c:strCache>
                <c:ptCount val="14"/>
                <c:pt idx="0">
                  <c:v>Jordbruk, skogbruk og fiske</c:v>
                </c:pt>
                <c:pt idx="1">
                  <c:v>Industri</c:v>
                </c:pt>
                <c:pt idx="2">
                  <c:v>Bygge- og anleggsvirksomhet</c:v>
                </c:pt>
                <c:pt idx="3">
                  <c:v>Varehandel</c:v>
                </c:pt>
                <c:pt idx="4">
                  <c:v>Transport og lagring</c:v>
                </c:pt>
                <c:pt idx="5">
                  <c:v>Overnatting og servering</c:v>
                </c:pt>
                <c:pt idx="6">
                  <c:v>Informasjon og kommunikasjon</c:v>
                </c:pt>
                <c:pt idx="7">
                  <c:v>Omsetning og drift av fast eiendom</c:v>
                </c:pt>
                <c:pt idx="8">
                  <c:v>Faglig tjenesteyting</c:v>
                </c:pt>
                <c:pt idx="9">
                  <c:v>Forretningsmessig tjenesteyting</c:v>
                </c:pt>
                <c:pt idx="10">
                  <c:v>Undervisning</c:v>
                </c:pt>
                <c:pt idx="11">
                  <c:v>Helse- og sosialtjenester</c:v>
                </c:pt>
                <c:pt idx="12">
                  <c:v>Kultur, underholdning og fritid</c:v>
                </c:pt>
                <c:pt idx="13">
                  <c:v>Personlig tjenesteyting</c:v>
                </c:pt>
              </c:strCache>
            </c:strRef>
          </c:cat>
          <c:val>
            <c:numRef>
              <c:f>'Ark1'!$F$2:$F$15</c:f>
              <c:numCache>
                <c:formatCode>_-* #,##0_-;\-* #,##0_-;_-* "-"??_-;_-@_-</c:formatCode>
                <c:ptCount val="14"/>
                <c:pt idx="0">
                  <c:v>47</c:v>
                </c:pt>
                <c:pt idx="1">
                  <c:v>545</c:v>
                </c:pt>
                <c:pt idx="2">
                  <c:v>509</c:v>
                </c:pt>
                <c:pt idx="3">
                  <c:v>436</c:v>
                </c:pt>
                <c:pt idx="4">
                  <c:v>301</c:v>
                </c:pt>
                <c:pt idx="5">
                  <c:v>234</c:v>
                </c:pt>
                <c:pt idx="6">
                  <c:v>221</c:v>
                </c:pt>
                <c:pt idx="7">
                  <c:v>15</c:v>
                </c:pt>
                <c:pt idx="8">
                  <c:v>224</c:v>
                </c:pt>
                <c:pt idx="9">
                  <c:v>404</c:v>
                </c:pt>
                <c:pt idx="10">
                  <c:v>1055</c:v>
                </c:pt>
                <c:pt idx="11">
                  <c:v>1573</c:v>
                </c:pt>
                <c:pt idx="12">
                  <c:v>112</c:v>
                </c:pt>
                <c:pt idx="13">
                  <c:v>79</c:v>
                </c:pt>
              </c:numCache>
            </c:numRef>
          </c:val>
          <c:extLst>
            <c:ext xmlns:c16="http://schemas.microsoft.com/office/drawing/2014/chart" uri="{C3380CC4-5D6E-409C-BE32-E72D297353CC}">
              <c16:uniqueId val="{00000004-D522-42AF-BD65-FF2F4B193E8D}"/>
            </c:ext>
          </c:extLst>
        </c:ser>
        <c:dLbls>
          <c:showLegendKey val="0"/>
          <c:showVal val="0"/>
          <c:showCatName val="0"/>
          <c:showSerName val="0"/>
          <c:showPercent val="0"/>
          <c:showBubbleSize val="0"/>
        </c:dLbls>
        <c:gapWidth val="50"/>
        <c:axId val="832499903"/>
        <c:axId val="810066271"/>
      </c:barChart>
      <c:catAx>
        <c:axId val="8324999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crossAx val="810066271"/>
        <c:crosses val="autoZero"/>
        <c:auto val="1"/>
        <c:lblAlgn val="ctr"/>
        <c:lblOffset val="100"/>
        <c:noMultiLvlLbl val="0"/>
      </c:catAx>
      <c:valAx>
        <c:axId val="810066271"/>
        <c:scaling>
          <c:orientation val="minMax"/>
          <c:max val="18000"/>
          <c:min val="0"/>
        </c:scaling>
        <c:delete val="0"/>
        <c:axPos val="t"/>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crossAx val="832499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029064202844932E-2"/>
          <c:y val="2.3607999044722442E-2"/>
          <c:w val="0.94724495594253932"/>
          <c:h val="0.90419493281448649"/>
        </c:manualLayout>
      </c:layout>
      <c:barChart>
        <c:barDir val="col"/>
        <c:grouping val="stacked"/>
        <c:varyColors val="0"/>
        <c:ser>
          <c:idx val="0"/>
          <c:order val="0"/>
          <c:tx>
            <c:strRef>
              <c:f>'Ark1'!$B$1</c:f>
              <c:strCache>
                <c:ptCount val="1"/>
                <c:pt idx="0">
                  <c:v>Formueskatt på arbeidende, næringsrelatert kapital, mrd. kr</c:v>
                </c:pt>
              </c:strCache>
            </c:strRef>
          </c:tx>
          <c:spPr>
            <a:solidFill>
              <a:schemeClr val="accent6"/>
            </a:solidFill>
            <a:ln>
              <a:solidFill>
                <a:schemeClr val="tx1"/>
              </a:solidFill>
            </a:ln>
          </c:spPr>
          <c:invertIfNegative val="0"/>
          <c:dLbls>
            <c:spPr>
              <a:noFill/>
              <a:ln>
                <a:noFill/>
              </a:ln>
              <a:effectLst/>
            </c:spPr>
            <c:txPr>
              <a:bodyPr/>
              <a:lstStyle/>
              <a:p>
                <a:pPr>
                  <a:defRPr sz="800" b="1">
                    <a:solidFill>
                      <a:schemeClr val="bg1"/>
                    </a:solidFill>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'Ark1'!$A$2:$A$4</c:f>
              <c:numCache>
                <c:formatCode>General</c:formatCode>
                <c:ptCount val="3"/>
                <c:pt idx="0">
                  <c:v>2005</c:v>
                </c:pt>
                <c:pt idx="1">
                  <c:v>2013</c:v>
                </c:pt>
                <c:pt idx="2">
                  <c:v>2019</c:v>
                </c:pt>
              </c:numCache>
            </c:numRef>
          </c:cat>
          <c:val>
            <c:numRef>
              <c:f>'Ark1'!$B$2:$B$4</c:f>
              <c:numCache>
                <c:formatCode>General</c:formatCode>
                <c:ptCount val="3"/>
                <c:pt idx="0">
                  <c:v>3</c:v>
                </c:pt>
                <c:pt idx="1">
                  <c:v>7.7</c:v>
                </c:pt>
                <c:pt idx="2">
                  <c:v>9.6999999999999993</c:v>
                </c:pt>
              </c:numCache>
            </c:numRef>
          </c:val>
          <c:extLst>
            <c:ext xmlns:c16="http://schemas.microsoft.com/office/drawing/2014/chart" uri="{C3380CC4-5D6E-409C-BE32-E72D297353CC}">
              <c16:uniqueId val="{00000000-8FE1-4BC1-BBA2-CE9F5DC31BAD}"/>
            </c:ext>
          </c:extLst>
        </c:ser>
        <c:ser>
          <c:idx val="1"/>
          <c:order val="1"/>
          <c:tx>
            <c:strRef>
              <c:f>'Ark1'!$C$1</c:f>
              <c:strCache>
                <c:ptCount val="1"/>
                <c:pt idx="0">
                  <c:v>Utbytteskatt, mrd. kr</c:v>
                </c:pt>
              </c:strCache>
            </c:strRef>
          </c:tx>
          <c:spPr>
            <a:solidFill>
              <a:schemeClr val="accent5"/>
            </a:solidFill>
            <a:ln>
              <a:solidFill>
                <a:schemeClr val="tx1"/>
              </a:solidFill>
            </a:ln>
          </c:spPr>
          <c:invertIfNegative val="0"/>
          <c:dLbls>
            <c:dLbl>
              <c:idx val="0"/>
              <c:layout>
                <c:manualLayout>
                  <c:x val="-2.2059592801389914E-3"/>
                  <c:y val="-2.9351822351685927E-2"/>
                </c:manualLayout>
              </c:layout>
              <c:spPr>
                <a:noFill/>
                <a:ln>
                  <a:noFill/>
                </a:ln>
                <a:effectLst/>
              </c:spPr>
              <c:txPr>
                <a:bodyPr wrap="square" lIns="38100" tIns="19050" rIns="38100" bIns="19050" anchor="ctr">
                  <a:spAutoFit/>
                </a:bodyPr>
                <a:lstStyle/>
                <a:p>
                  <a:pPr>
                    <a:defRPr sz="800" b="1"/>
                  </a:pPr>
                  <a:endParaRPr lang="nb-N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E1-4BC1-BBA2-CE9F5DC31BAD}"/>
                </c:ext>
              </c:extLst>
            </c:dLbl>
            <c:dLbl>
              <c:idx val="1"/>
              <c:spPr>
                <a:noFill/>
                <a:ln>
                  <a:noFill/>
                </a:ln>
                <a:effectLst/>
              </c:spPr>
              <c:txPr>
                <a:bodyPr wrap="square" lIns="38100" tIns="19050" rIns="38100" bIns="19050" anchor="ctr">
                  <a:spAutoFit/>
                </a:bodyPr>
                <a:lstStyle/>
                <a:p>
                  <a:pPr>
                    <a:defRPr sz="800" b="1">
                      <a:solidFill>
                        <a:schemeClr val="bg1"/>
                      </a:solidFill>
                    </a:defRPr>
                  </a:pPr>
                  <a:endParaRPr lang="nb-NO"/>
                </a:p>
              </c:txPr>
              <c:showLegendKey val="0"/>
              <c:showVal val="1"/>
              <c:showCatName val="0"/>
              <c:showSerName val="0"/>
              <c:showPercent val="0"/>
              <c:showBubbleSize val="0"/>
              <c:extLst>
                <c:ext xmlns:c16="http://schemas.microsoft.com/office/drawing/2014/chart" uri="{C3380CC4-5D6E-409C-BE32-E72D297353CC}">
                  <c16:uniqueId val="{00000002-8FE1-4BC1-BBA2-CE9F5DC31BAD}"/>
                </c:ext>
              </c:extLst>
            </c:dLbl>
            <c:dLbl>
              <c:idx val="2"/>
              <c:spPr>
                <a:noFill/>
                <a:ln>
                  <a:noFill/>
                </a:ln>
                <a:effectLst/>
              </c:spPr>
              <c:txPr>
                <a:bodyPr wrap="square" lIns="38100" tIns="19050" rIns="38100" bIns="19050" anchor="ctr">
                  <a:spAutoFit/>
                </a:bodyPr>
                <a:lstStyle/>
                <a:p>
                  <a:pPr>
                    <a:defRPr sz="800" b="1">
                      <a:solidFill>
                        <a:schemeClr val="bg1"/>
                      </a:solidFill>
                    </a:defRPr>
                  </a:pPr>
                  <a:endParaRPr lang="nb-NO"/>
                </a:p>
              </c:txPr>
              <c:showLegendKey val="0"/>
              <c:showVal val="1"/>
              <c:showCatName val="0"/>
              <c:showSerName val="0"/>
              <c:showPercent val="0"/>
              <c:showBubbleSize val="0"/>
              <c:extLst>
                <c:ext xmlns:c16="http://schemas.microsoft.com/office/drawing/2014/chart" uri="{C3380CC4-5D6E-409C-BE32-E72D297353CC}">
                  <c16:uniqueId val="{00000003-8FE1-4BC1-BBA2-CE9F5DC31BAD}"/>
                </c:ext>
              </c:extLst>
            </c:dLbl>
            <c:spPr>
              <a:noFill/>
              <a:ln>
                <a:noFill/>
              </a:ln>
              <a:effectLst/>
            </c:spPr>
            <c:txPr>
              <a:bodyPr wrap="square" lIns="38100" tIns="19050" rIns="38100" bIns="19050" anchor="ctr">
                <a:spAutoFit/>
              </a:bodyPr>
              <a:lstStyle/>
              <a:p>
                <a:pPr>
                  <a:defRPr sz="800"/>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'Ark1'!$A$2:$A$4</c:f>
              <c:numCache>
                <c:formatCode>General</c:formatCode>
                <c:ptCount val="3"/>
                <c:pt idx="0">
                  <c:v>2005</c:v>
                </c:pt>
                <c:pt idx="1">
                  <c:v>2013</c:v>
                </c:pt>
                <c:pt idx="2">
                  <c:v>2019</c:v>
                </c:pt>
              </c:numCache>
            </c:numRef>
          </c:cat>
          <c:val>
            <c:numRef>
              <c:f>'Ark1'!$C$2:$C$4</c:f>
              <c:numCache>
                <c:formatCode>General</c:formatCode>
                <c:ptCount val="3"/>
                <c:pt idx="0">
                  <c:v>0</c:v>
                </c:pt>
                <c:pt idx="1">
                  <c:v>9.3000000000000007</c:v>
                </c:pt>
                <c:pt idx="2">
                  <c:v>21</c:v>
                </c:pt>
              </c:numCache>
            </c:numRef>
          </c:val>
          <c:extLst>
            <c:ext xmlns:c16="http://schemas.microsoft.com/office/drawing/2014/chart" uri="{C3380CC4-5D6E-409C-BE32-E72D297353CC}">
              <c16:uniqueId val="{00000004-8FE1-4BC1-BBA2-CE9F5DC31BAD}"/>
            </c:ext>
          </c:extLst>
        </c:ser>
        <c:dLbls>
          <c:showLegendKey val="0"/>
          <c:showVal val="0"/>
          <c:showCatName val="0"/>
          <c:showSerName val="0"/>
          <c:showPercent val="0"/>
          <c:showBubbleSize val="0"/>
        </c:dLbls>
        <c:gapWidth val="150"/>
        <c:overlap val="100"/>
        <c:axId val="471540344"/>
        <c:axId val="471547400"/>
      </c:barChart>
      <c:catAx>
        <c:axId val="471540344"/>
        <c:scaling>
          <c:orientation val="minMax"/>
        </c:scaling>
        <c:delete val="0"/>
        <c:axPos val="b"/>
        <c:numFmt formatCode="General" sourceLinked="1"/>
        <c:majorTickMark val="out"/>
        <c:minorTickMark val="none"/>
        <c:tickLblPos val="nextTo"/>
        <c:txPr>
          <a:bodyPr/>
          <a:lstStyle/>
          <a:p>
            <a:pPr>
              <a:defRPr sz="800" b="1"/>
            </a:pPr>
            <a:endParaRPr lang="nb-NO"/>
          </a:p>
        </c:txPr>
        <c:crossAx val="471547400"/>
        <c:crosses val="autoZero"/>
        <c:auto val="1"/>
        <c:lblAlgn val="ctr"/>
        <c:lblOffset val="100"/>
        <c:noMultiLvlLbl val="0"/>
      </c:catAx>
      <c:valAx>
        <c:axId val="471547400"/>
        <c:scaling>
          <c:orientation val="minMax"/>
          <c:max val="35"/>
        </c:scaling>
        <c:delete val="0"/>
        <c:axPos val="l"/>
        <c:majorGridlines/>
        <c:numFmt formatCode="General" sourceLinked="1"/>
        <c:majorTickMark val="out"/>
        <c:minorTickMark val="none"/>
        <c:tickLblPos val="nextTo"/>
        <c:txPr>
          <a:bodyPr/>
          <a:lstStyle/>
          <a:p>
            <a:pPr>
              <a:defRPr sz="800"/>
            </a:pPr>
            <a:endParaRPr lang="nb-NO"/>
          </a:p>
        </c:txPr>
        <c:crossAx val="471540344"/>
        <c:crosses val="autoZero"/>
        <c:crossBetween val="between"/>
      </c:valAx>
      <c:spPr>
        <a:noFill/>
        <a:ln w="25400">
          <a:noFill/>
        </a:ln>
      </c:spPr>
    </c:plotArea>
    <c:legend>
      <c:legendPos val="b"/>
      <c:layout>
        <c:manualLayout>
          <c:xMode val="edge"/>
          <c:yMode val="edge"/>
          <c:x val="0.11710518868652636"/>
          <c:y val="3.7507627044774387E-2"/>
          <c:w val="0.57821962518244352"/>
          <c:h val="0.24659574379770793"/>
        </c:manualLayout>
      </c:layout>
      <c:overlay val="0"/>
      <c:txPr>
        <a:bodyPr/>
        <a:lstStyle/>
        <a:p>
          <a:pPr>
            <a:defRPr sz="800"/>
          </a:pPr>
          <a:endParaRPr lang="nb-NO"/>
        </a:p>
      </c:txPr>
    </c:legend>
    <c:plotVisOnly val="1"/>
    <c:dispBlanksAs val="gap"/>
    <c:showDLblsOverMax val="0"/>
  </c:chart>
  <c:spPr>
    <a:ln>
      <a:noFill/>
    </a:ln>
  </c:spPr>
  <c:txPr>
    <a:bodyPr/>
    <a:lstStyle/>
    <a:p>
      <a:pPr>
        <a:defRPr sz="1000" baseline="0">
          <a:solidFill>
            <a:sysClr val="windowText" lastClr="000000"/>
          </a:solidFill>
          <a:latin typeface="Century Gothic" panose="020B0502020202020204" pitchFamily="34" charset="0"/>
        </a:defRPr>
      </a:pPr>
      <a:endParaRPr lang="nb-N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24882804120231"/>
          <c:y val="6.7031222437819726E-2"/>
          <c:w val="0.78562209647867265"/>
          <c:h val="0.72279835748205135"/>
        </c:manualLayout>
      </c:layout>
      <c:barChart>
        <c:barDir val="col"/>
        <c:grouping val="percentStacked"/>
        <c:varyColors val="0"/>
        <c:ser>
          <c:idx val="0"/>
          <c:order val="0"/>
          <c:tx>
            <c:strRef>
              <c:f>'Ark1'!$B$1</c:f>
              <c:strCache>
                <c:ptCount val="1"/>
                <c:pt idx="0">
                  <c:v>Andel norsk privat emisjonskapital</c:v>
                </c:pt>
              </c:strCache>
            </c:strRef>
          </c:tx>
          <c:spPr>
            <a:solidFill>
              <a:srgbClr val="00B050"/>
            </a:solidFill>
            <a:ln w="12700">
              <a:solidFill>
                <a:schemeClr val="tx1"/>
              </a:solidFill>
            </a:ln>
            <a:effectLst/>
          </c:spPr>
          <c:invertIfNegative val="0"/>
          <c:dLbls>
            <c:dLbl>
              <c:idx val="0"/>
              <c:layout>
                <c:manualLayout>
                  <c:x val="2.8453549580309883E-3"/>
                  <c:y val="-9.36621916952862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3F-4C96-84EB-386C59523A17}"/>
                </c:ext>
              </c:extLst>
            </c:dLbl>
            <c:dLbl>
              <c:idx val="1"/>
              <c:layout>
                <c:manualLayout>
                  <c:x val="2.8453549580309623E-3"/>
                  <c:y val="6.24414611301904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3F-4C96-84EB-386C59523A17}"/>
                </c:ext>
              </c:extLst>
            </c:dLbl>
            <c:dLbl>
              <c:idx val="2"/>
              <c:layout>
                <c:manualLayout>
                  <c:x val="2.8453549580310144E-3"/>
                  <c:y val="3.12207305650952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3F-4C96-84EB-386C59523A17}"/>
                </c:ext>
              </c:extLst>
            </c:dLbl>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'Ark1'!$B$2:$B$5</c:f>
              <c:numCache>
                <c:formatCode>0.0\ %</c:formatCode>
                <c:ptCount val="4"/>
                <c:pt idx="0">
                  <c:v>0.93892572684356845</c:v>
                </c:pt>
                <c:pt idx="1">
                  <c:v>0.92231786745549804</c:v>
                </c:pt>
                <c:pt idx="2">
                  <c:v>0.83324448759338865</c:v>
                </c:pt>
                <c:pt idx="3">
                  <c:v>0.48901679202505743</c:v>
                </c:pt>
              </c:numCache>
            </c:numRef>
          </c:val>
          <c:extLst>
            <c:ext xmlns:c16="http://schemas.microsoft.com/office/drawing/2014/chart" uri="{C3380CC4-5D6E-409C-BE32-E72D297353CC}">
              <c16:uniqueId val="{00000003-933F-4C96-84EB-386C59523A17}"/>
            </c:ext>
          </c:extLst>
        </c:ser>
        <c:ser>
          <c:idx val="1"/>
          <c:order val="1"/>
          <c:tx>
            <c:strRef>
              <c:f>'Ark1'!$C$1</c:f>
              <c:strCache>
                <c:ptCount val="1"/>
                <c:pt idx="0">
                  <c:v>Andel utenlandsk emisjonskapital</c:v>
                </c:pt>
              </c:strCache>
            </c:strRef>
          </c:tx>
          <c:spPr>
            <a:solidFill>
              <a:srgbClr val="0070C0"/>
            </a:solidFill>
            <a:ln w="12700">
              <a:solidFill>
                <a:schemeClr val="tx1"/>
              </a:solid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'Ark1'!$C$2:$C$5</c:f>
              <c:numCache>
                <c:formatCode>0.0\ %</c:formatCode>
                <c:ptCount val="4"/>
                <c:pt idx="0">
                  <c:v>3.9136327803134918E-2</c:v>
                </c:pt>
                <c:pt idx="1">
                  <c:v>6.0993824154138565E-2</c:v>
                </c:pt>
                <c:pt idx="2">
                  <c:v>0.14189377427101135</c:v>
                </c:pt>
                <c:pt idx="3">
                  <c:v>0.37423199415206909</c:v>
                </c:pt>
              </c:numCache>
            </c:numRef>
          </c:val>
          <c:extLst>
            <c:ext xmlns:c16="http://schemas.microsoft.com/office/drawing/2014/chart" uri="{C3380CC4-5D6E-409C-BE32-E72D297353CC}">
              <c16:uniqueId val="{00000004-933F-4C96-84EB-386C59523A17}"/>
            </c:ext>
          </c:extLst>
        </c:ser>
        <c:ser>
          <c:idx val="2"/>
          <c:order val="2"/>
          <c:tx>
            <c:strRef>
              <c:f>'Ark1'!$D$1</c:f>
              <c:strCache>
                <c:ptCount val="1"/>
                <c:pt idx="0">
                  <c:v>Andel statlig emisjonskapital</c:v>
                </c:pt>
              </c:strCache>
            </c:strRef>
          </c:tx>
          <c:spPr>
            <a:solidFill>
              <a:srgbClr val="00B0F0"/>
            </a:solidFill>
            <a:ln w="12700">
              <a:solidFill>
                <a:schemeClr val="tx1"/>
              </a:solidFill>
            </a:ln>
            <a:effectLst/>
          </c:spPr>
          <c:invertIfNegative val="0"/>
          <c:dLbls>
            <c:dLbl>
              <c:idx val="0"/>
              <c:layout>
                <c:manualLayout>
                  <c:x val="8.6374330497656041E-2"/>
                  <c:y val="-4.0509303950341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3F-4C96-84EB-386C59523A17}"/>
                </c:ext>
              </c:extLst>
            </c:dLbl>
            <c:dLbl>
              <c:idx val="1"/>
              <c:layout>
                <c:manualLayout>
                  <c:x val="7.446483771931367E-2"/>
                  <c:y val="-3.3400049724777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3F-4C96-84EB-386C59523A17}"/>
                </c:ext>
              </c:extLst>
            </c:dLbl>
            <c:dLbl>
              <c:idx val="2"/>
              <c:layout>
                <c:manualLayout>
                  <c:x val="6.40443392543774E-2"/>
                  <c:y val="-4.7511886027476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3F-4C96-84EB-386C59523A17}"/>
                </c:ext>
              </c:extLst>
            </c:dLbl>
            <c:dLbl>
              <c:idx val="3"/>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6="http://schemas.microsoft.com/office/drawing/2014/chart" uri="{C3380CC4-5D6E-409C-BE32-E72D297353CC}">
                  <c16:uniqueId val="{00000008-933F-4C96-84EB-386C59523A17}"/>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Mikro</c:v>
                </c:pt>
                <c:pt idx="1">
                  <c:v>Liten</c:v>
                </c:pt>
                <c:pt idx="2">
                  <c:v>Mellomstor</c:v>
                </c:pt>
                <c:pt idx="3">
                  <c:v>Stor</c:v>
                </c:pt>
              </c:strCache>
            </c:strRef>
          </c:cat>
          <c:val>
            <c:numRef>
              <c:f>'Ark1'!$D$2:$D$5</c:f>
              <c:numCache>
                <c:formatCode>0.0\ %</c:formatCode>
                <c:ptCount val="4"/>
                <c:pt idx="0">
                  <c:v>2.1937946003429781E-2</c:v>
                </c:pt>
                <c:pt idx="1">
                  <c:v>1.6688308145218447E-2</c:v>
                </c:pt>
                <c:pt idx="2">
                  <c:v>2.4861738020328292E-2</c:v>
                </c:pt>
                <c:pt idx="3">
                  <c:v>0.13675122293530534</c:v>
                </c:pt>
              </c:numCache>
            </c:numRef>
          </c:val>
          <c:extLst>
            <c:ext xmlns:c16="http://schemas.microsoft.com/office/drawing/2014/chart" uri="{C3380CC4-5D6E-409C-BE32-E72D297353CC}">
              <c16:uniqueId val="{00000009-933F-4C96-84EB-386C59523A17}"/>
            </c:ext>
          </c:extLst>
        </c:ser>
        <c:dLbls>
          <c:showLegendKey val="0"/>
          <c:showVal val="0"/>
          <c:showCatName val="0"/>
          <c:showSerName val="0"/>
          <c:showPercent val="0"/>
          <c:showBubbleSize val="0"/>
        </c:dLbls>
        <c:gapWidth val="50"/>
        <c:overlap val="100"/>
        <c:axId val="1776330960"/>
        <c:axId val="1907755616"/>
      </c:barChart>
      <c:catAx>
        <c:axId val="177633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crossAx val="1907755616"/>
        <c:crosses val="autoZero"/>
        <c:auto val="1"/>
        <c:lblAlgn val="ctr"/>
        <c:lblOffset val="100"/>
        <c:noMultiLvlLbl val="0"/>
      </c:catAx>
      <c:valAx>
        <c:axId val="1907755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crossAx val="1776330960"/>
        <c:crosses val="autoZero"/>
        <c:crossBetween val="between"/>
      </c:valAx>
      <c:spPr>
        <a:noFill/>
        <a:ln>
          <a:noFill/>
        </a:ln>
        <a:effectLst/>
      </c:spPr>
    </c:plotArea>
    <c:legend>
      <c:legendPos val="b"/>
      <c:layout>
        <c:manualLayout>
          <c:xMode val="edge"/>
          <c:yMode val="edge"/>
          <c:x val="0.19051425516875151"/>
          <c:y val="0.86630927115917911"/>
          <c:w val="0.61897113798693881"/>
          <c:h val="0.10996124495709542"/>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sz="800"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51965446914808"/>
          <c:y val="2.475685234305924E-2"/>
          <c:w val="0.47393137421882164"/>
          <c:h val="0.91252124645892352"/>
        </c:manualLayout>
      </c:layout>
      <c:barChart>
        <c:barDir val="col"/>
        <c:grouping val="stacked"/>
        <c:varyColors val="0"/>
        <c:ser>
          <c:idx val="0"/>
          <c:order val="0"/>
          <c:tx>
            <c:strRef>
              <c:f>'Ark1'!$B$1</c:f>
              <c:strCache>
                <c:ptCount val="1"/>
                <c:pt idx="0">
                  <c:v>Antall skatteytere med formuesskatt på arbeidede kapital</c:v>
                </c:pt>
              </c:strCache>
            </c:strRef>
          </c:tx>
          <c:spPr>
            <a:solidFill>
              <a:schemeClr val="accent6">
                <a:lumMod val="75000"/>
              </a:schemeClr>
            </a:solidFill>
            <a:ln>
              <a:solidFill>
                <a:schemeClr val="accent6">
                  <a:lumMod val="50000"/>
                </a:schemeClr>
              </a:solidFill>
            </a:ln>
            <a:effectLst/>
          </c:spPr>
          <c:invertIfNegative val="0"/>
          <c:dPt>
            <c:idx val="0"/>
            <c:invertIfNegative val="0"/>
            <c:bubble3D val="0"/>
            <c:spPr>
              <a:solidFill>
                <a:schemeClr val="accent6">
                  <a:lumMod val="75000"/>
                </a:schemeClr>
              </a:solidFill>
              <a:ln>
                <a:solidFill>
                  <a:schemeClr val="accent6">
                    <a:lumMod val="50000"/>
                  </a:schemeClr>
                </a:solidFill>
              </a:ln>
              <a:effectLst/>
            </c:spPr>
            <c:extLst>
              <c:ext xmlns:c16="http://schemas.microsoft.com/office/drawing/2014/chart" uri="{C3380CC4-5D6E-409C-BE32-E72D297353CC}">
                <c16:uniqueId val="{00000003-199C-462F-8FD2-3D42FE022E9D}"/>
              </c:ext>
            </c:extLst>
          </c:dPt>
          <c:dLbls>
            <c:numFmt formatCode="#,##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'Ark1'!$B$2</c:f>
              <c:numCache>
                <c:formatCode>General</c:formatCode>
                <c:ptCount val="1"/>
                <c:pt idx="0">
                  <c:v>440000</c:v>
                </c:pt>
              </c:numCache>
            </c:numRef>
          </c:val>
          <c:extLst>
            <c:ext xmlns:c16="http://schemas.microsoft.com/office/drawing/2014/chart" uri="{C3380CC4-5D6E-409C-BE32-E72D297353CC}">
              <c16:uniqueId val="{00000000-199C-462F-8FD2-3D42FE022E9D}"/>
            </c:ext>
          </c:extLst>
        </c:ser>
        <c:ser>
          <c:idx val="1"/>
          <c:order val="1"/>
          <c:tx>
            <c:strRef>
              <c:f>'Ark1'!$C$1</c:f>
              <c:strCache>
                <c:ptCount val="1"/>
                <c:pt idx="0">
                  <c:v>Antall skatteytere som kun betaler formuesskatt på personlig, ikke-næringsrelatert kapital </c:v>
                </c:pt>
              </c:strCache>
            </c:strRef>
          </c:tx>
          <c:spPr>
            <a:solidFill>
              <a:srgbClr val="0070C0"/>
            </a:solidFill>
            <a:ln>
              <a:solidFill>
                <a:schemeClr val="accent6">
                  <a:lumMod val="50000"/>
                </a:schemeClr>
              </a:solidFill>
            </a:ln>
            <a:effectLst/>
          </c:spPr>
          <c:invertIfNegative val="0"/>
          <c:dLbls>
            <c:dLbl>
              <c:idx val="0"/>
              <c:numFmt formatCode="#,##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15:layout>
                    <c:manualLayout>
                      <c:w val="0.25110557752454743"/>
                      <c:h val="5.4980451935983457E-2"/>
                    </c:manualLayout>
                  </c15:layout>
                </c:ext>
                <c:ext xmlns:c16="http://schemas.microsoft.com/office/drawing/2014/chart" uri="{C3380CC4-5D6E-409C-BE32-E72D297353CC}">
                  <c16:uniqueId val="{00000001-199C-462F-8FD2-3D42FE022E9D}"/>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'Ark1'!$C$2</c:f>
              <c:numCache>
                <c:formatCode>General</c:formatCode>
                <c:ptCount val="1"/>
                <c:pt idx="0">
                  <c:v>110000</c:v>
                </c:pt>
              </c:numCache>
            </c:numRef>
          </c:val>
          <c:extLst>
            <c:ext xmlns:c16="http://schemas.microsoft.com/office/drawing/2014/chart" uri="{C3380CC4-5D6E-409C-BE32-E72D297353CC}">
              <c16:uniqueId val="{00000002-199C-462F-8FD2-3D42FE022E9D}"/>
            </c:ext>
          </c:extLst>
        </c:ser>
        <c:dLbls>
          <c:showLegendKey val="0"/>
          <c:showVal val="0"/>
          <c:showCatName val="0"/>
          <c:showSerName val="0"/>
          <c:showPercent val="0"/>
          <c:showBubbleSize val="0"/>
        </c:dLbls>
        <c:gapWidth val="150"/>
        <c:overlap val="100"/>
        <c:axId val="1817749519"/>
        <c:axId val="1602552207"/>
      </c:barChart>
      <c:catAx>
        <c:axId val="1817749519"/>
        <c:scaling>
          <c:orientation val="minMax"/>
        </c:scaling>
        <c:delete val="1"/>
        <c:axPos val="b"/>
        <c:numFmt formatCode="General" sourceLinked="1"/>
        <c:majorTickMark val="none"/>
        <c:minorTickMark val="none"/>
        <c:tickLblPos val="nextTo"/>
        <c:crossAx val="1602552207"/>
        <c:crosses val="autoZero"/>
        <c:auto val="1"/>
        <c:lblAlgn val="ctr"/>
        <c:lblOffset val="100"/>
        <c:noMultiLvlLbl val="0"/>
      </c:catAx>
      <c:valAx>
        <c:axId val="1602552207"/>
        <c:scaling>
          <c:orientation val="minMax"/>
          <c:max val="60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nb-NO"/>
          </a:p>
        </c:txPr>
        <c:crossAx val="1817749519"/>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legendEntry>
      <c:legendEntry>
        <c:idx val="1"/>
        <c:txPr>
          <a:bodyPr rot="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legendEntry>
      <c:layout>
        <c:manualLayout>
          <c:xMode val="edge"/>
          <c:yMode val="edge"/>
          <c:x val="0.63586935160559166"/>
          <c:y val="9.0878534082443937E-2"/>
          <c:w val="0.35416161166210297"/>
          <c:h val="0.8707357788807206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51965446914808"/>
          <c:y val="2.475685234305924E-2"/>
          <c:w val="0.47393137421882164"/>
          <c:h val="0.91252124645892352"/>
        </c:manualLayout>
      </c:layout>
      <c:barChart>
        <c:barDir val="col"/>
        <c:grouping val="stacked"/>
        <c:varyColors val="0"/>
        <c:ser>
          <c:idx val="0"/>
          <c:order val="0"/>
          <c:tx>
            <c:strRef>
              <c:f>'Ark1'!$B$1</c:f>
              <c:strCache>
                <c:ptCount val="1"/>
                <c:pt idx="0">
                  <c:v>Estimert antall skatteyere med formuesskatt på eierskap i små bedrifter eller moderat annen næringskapital. Netto likningsformue under 20 mill. kr</c:v>
                </c:pt>
              </c:strCache>
            </c:strRef>
          </c:tx>
          <c:spPr>
            <a:solidFill>
              <a:schemeClr val="accent6">
                <a:lumMod val="75000"/>
              </a:schemeClr>
            </a:solidFill>
            <a:ln>
              <a:solidFill>
                <a:schemeClr val="accent6">
                  <a:lumMod val="50000"/>
                </a:schemeClr>
              </a:solidFill>
            </a:ln>
            <a:effectLst/>
          </c:spPr>
          <c:invertIfNegative val="0"/>
          <c:dLbls>
            <c:numFmt formatCode="#,##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'Ark1'!$B$2</c:f>
              <c:numCache>
                <c:formatCode>General</c:formatCode>
                <c:ptCount val="1"/>
                <c:pt idx="0">
                  <c:v>425000</c:v>
                </c:pt>
              </c:numCache>
            </c:numRef>
          </c:val>
          <c:extLst>
            <c:ext xmlns:c16="http://schemas.microsoft.com/office/drawing/2014/chart" uri="{C3380CC4-5D6E-409C-BE32-E72D297353CC}">
              <c16:uniqueId val="{00000000-0446-40E3-BDA2-6843810CC04E}"/>
            </c:ext>
          </c:extLst>
        </c:ser>
        <c:ser>
          <c:idx val="1"/>
          <c:order val="1"/>
          <c:tx>
            <c:strRef>
              <c:f>'Ark1'!$C$1</c:f>
              <c:strCache>
                <c:ptCount val="1"/>
                <c:pt idx="0">
                  <c:v>Estimert antall skatteyere med formuesskatt på eierskap i mellomstore bedrifter eller betaydelig annen næringskapital. Netto likningsformue mellom 20-50 mill. kr</c:v>
                </c:pt>
              </c:strCache>
            </c:strRef>
          </c:tx>
          <c:spPr>
            <a:solidFill>
              <a:schemeClr val="accent2"/>
            </a:solidFill>
            <a:ln>
              <a:solidFill>
                <a:schemeClr val="accent6">
                  <a:lumMod val="50000"/>
                </a:schemeClr>
              </a:solidFill>
            </a:ln>
            <a:effectLst/>
          </c:spPr>
          <c:invertIfNegative val="0"/>
          <c:dLbls>
            <c:dLbl>
              <c:idx val="0"/>
              <c:layout>
                <c:manualLayout>
                  <c:x val="-2.2185246810870773E-3"/>
                  <c:y val="3.7764350453172208E-3"/>
                </c:manualLayout>
              </c:layout>
              <c:tx>
                <c:rich>
                  <a:bodyPr rot="0" spcFirstLastPara="1" vertOverflow="ellipsis" vert="horz" wrap="square" anchor="ctr" anchorCtr="1"/>
                  <a:lstStyle/>
                  <a:p>
                    <a:pPr>
                      <a:defRPr sz="1000" b="1" i="0" u="none" strike="noStrike" kern="1200" baseline="0">
                        <a:solidFill>
                          <a:schemeClr val="bg1"/>
                        </a:solidFill>
                        <a:latin typeface="Century Gothic" panose="020B0502020202020204" pitchFamily="34" charset="0"/>
                        <a:ea typeface="+mn-ea"/>
                        <a:cs typeface="+mn-cs"/>
                      </a:defRPr>
                    </a:pPr>
                    <a:fld id="{F91055C2-0E05-478F-AF5A-6CA8BFD085C2}" type="VALUE">
                      <a:rPr lang="en-US" sz="800"/>
                      <a:pPr>
                        <a:defRPr b="1">
                          <a:solidFill>
                            <a:schemeClr val="bg1"/>
                          </a:solidFill>
                        </a:defRPr>
                      </a:pPr>
                      <a:t>[VERDI]</a:t>
                    </a:fld>
                    <a:endParaRPr lang="nb-NO"/>
                  </a:p>
                </c:rich>
              </c:tx>
              <c:numFmt formatCode="#,##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15:layout>
                    <c:manualLayout>
                      <c:w val="0.25110557752454743"/>
                      <c:h val="5.4980451935983457E-2"/>
                    </c:manualLayout>
                  </c15:layout>
                  <c15:dlblFieldTable/>
                  <c15:showDataLabelsRange val="0"/>
                </c:ext>
                <c:ext xmlns:c16="http://schemas.microsoft.com/office/drawing/2014/chart" uri="{C3380CC4-5D6E-409C-BE32-E72D297353CC}">
                  <c16:uniqueId val="{00000001-0446-40E3-BDA2-6843810CC04E}"/>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'Ark1'!$C$2</c:f>
              <c:numCache>
                <c:formatCode>General</c:formatCode>
                <c:ptCount val="1"/>
                <c:pt idx="0">
                  <c:v>10600</c:v>
                </c:pt>
              </c:numCache>
            </c:numRef>
          </c:val>
          <c:extLst>
            <c:ext xmlns:c16="http://schemas.microsoft.com/office/drawing/2014/chart" uri="{C3380CC4-5D6E-409C-BE32-E72D297353CC}">
              <c16:uniqueId val="{00000002-0446-40E3-BDA2-6843810CC04E}"/>
            </c:ext>
          </c:extLst>
        </c:ser>
        <c:ser>
          <c:idx val="2"/>
          <c:order val="2"/>
          <c:tx>
            <c:strRef>
              <c:f>'Ark1'!$D$1</c:f>
              <c:strCache>
                <c:ptCount val="1"/>
                <c:pt idx="0">
                  <c:v>Estimert antall skatteyere med formuesskatt på eierskap i store bedrifter eller stort omfang av annen næringskapital. Netto likningsformue over 50 mill. kr</c:v>
                </c:pt>
              </c:strCache>
            </c:strRef>
          </c:tx>
          <c:spPr>
            <a:solidFill>
              <a:schemeClr val="accent5">
                <a:lumMod val="75000"/>
              </a:schemeClr>
            </a:solidFill>
            <a:ln>
              <a:noFill/>
            </a:ln>
            <a:effectLst/>
          </c:spPr>
          <c:invertIfNegative val="0"/>
          <c:dLbls>
            <c:dLbl>
              <c:idx val="0"/>
              <c:layout>
                <c:manualLayout>
                  <c:x val="1.1092623405434979E-3"/>
                  <c:y val="-5.664652567975830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15:layout>
                    <c:manualLayout>
                      <c:w val="6.9129229062673325E-2"/>
                      <c:h val="5.300241453957228E-2"/>
                    </c:manualLayout>
                  </c15:layout>
                </c:ext>
                <c:ext xmlns:c16="http://schemas.microsoft.com/office/drawing/2014/chart" uri="{C3380CC4-5D6E-409C-BE32-E72D297353CC}">
                  <c16:uniqueId val="{00000003-0446-40E3-BDA2-6843810CC04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'Ark1'!$D$2</c:f>
              <c:numCache>
                <c:formatCode>General</c:formatCode>
                <c:ptCount val="1"/>
                <c:pt idx="0">
                  <c:v>1400</c:v>
                </c:pt>
              </c:numCache>
            </c:numRef>
          </c:val>
          <c:extLst>
            <c:ext xmlns:c16="http://schemas.microsoft.com/office/drawing/2014/chart" uri="{C3380CC4-5D6E-409C-BE32-E72D297353CC}">
              <c16:uniqueId val="{00000004-0446-40E3-BDA2-6843810CC04E}"/>
            </c:ext>
          </c:extLst>
        </c:ser>
        <c:dLbls>
          <c:showLegendKey val="0"/>
          <c:showVal val="0"/>
          <c:showCatName val="0"/>
          <c:showSerName val="0"/>
          <c:showPercent val="0"/>
          <c:showBubbleSize val="0"/>
        </c:dLbls>
        <c:gapWidth val="150"/>
        <c:overlap val="100"/>
        <c:axId val="1817749519"/>
        <c:axId val="1602552207"/>
      </c:barChart>
      <c:catAx>
        <c:axId val="1817749519"/>
        <c:scaling>
          <c:orientation val="minMax"/>
        </c:scaling>
        <c:delete val="1"/>
        <c:axPos val="b"/>
        <c:numFmt formatCode="General" sourceLinked="1"/>
        <c:majorTickMark val="none"/>
        <c:minorTickMark val="none"/>
        <c:tickLblPos val="nextTo"/>
        <c:crossAx val="1602552207"/>
        <c:crosses val="autoZero"/>
        <c:auto val="1"/>
        <c:lblAlgn val="ctr"/>
        <c:lblOffset val="100"/>
        <c:noMultiLvlLbl val="0"/>
      </c:catAx>
      <c:valAx>
        <c:axId val="1602552207"/>
        <c:scaling>
          <c:orientation val="minMax"/>
          <c:max val="50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nb-NO"/>
          </a:p>
        </c:txPr>
        <c:crossAx val="1817749519"/>
        <c:crosses val="autoZero"/>
        <c:crossBetween val="between"/>
      </c:valAx>
      <c:spPr>
        <a:noFill/>
        <a:ln>
          <a:noFill/>
        </a:ln>
        <a:effectLst/>
      </c:spPr>
    </c:plotArea>
    <c:legend>
      <c:legendPos val="r"/>
      <c:legendEntry>
        <c:idx val="1"/>
        <c:txPr>
          <a:bodyPr rot="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nb-NO"/>
          </a:p>
        </c:txPr>
      </c:legendEntry>
      <c:legendEntry>
        <c:idx val="2"/>
        <c:txPr>
          <a:bodyPr rot="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nb-NO"/>
          </a:p>
        </c:txPr>
      </c:legendEntry>
      <c:layout>
        <c:manualLayout>
          <c:xMode val="edge"/>
          <c:yMode val="edge"/>
          <c:x val="0.63144995506652157"/>
          <c:y val="4.7664650026854726E-3"/>
          <c:w val="0.35684454756380513"/>
          <c:h val="0.96988873012495058"/>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30261495090892"/>
          <c:y val="7.9601990049751239E-3"/>
          <c:w val="0.54508377425044097"/>
          <c:h val="0.98407960199004973"/>
        </c:manualLayout>
      </c:layout>
      <c:doughnutChart>
        <c:varyColors val="1"/>
        <c:ser>
          <c:idx val="0"/>
          <c:order val="0"/>
          <c:tx>
            <c:strRef>
              <c:f>'Ark1'!$B$1</c:f>
              <c:strCache>
                <c:ptCount val="1"/>
                <c:pt idx="0">
                  <c:v>Kolonne2</c:v>
                </c:pt>
              </c:strCache>
            </c:strRef>
          </c:tx>
          <c:spPr>
            <a:ln w="3175">
              <a:solidFill>
                <a:schemeClr val="tx1"/>
              </a:solidFill>
            </a:ln>
          </c:spPr>
          <c:dPt>
            <c:idx val="0"/>
            <c:bubble3D val="0"/>
            <c:spPr>
              <a:solidFill>
                <a:schemeClr val="accent6">
                  <a:lumMod val="60000"/>
                  <a:lumOff val="40000"/>
                </a:schemeClr>
              </a:solidFill>
              <a:ln w="3175">
                <a:solidFill>
                  <a:schemeClr val="tx1"/>
                </a:solidFill>
              </a:ln>
              <a:effectLst/>
            </c:spPr>
            <c:extLst>
              <c:ext xmlns:c16="http://schemas.microsoft.com/office/drawing/2014/chart" uri="{C3380CC4-5D6E-409C-BE32-E72D297353CC}">
                <c16:uniqueId val="{00000001-24E2-4AAC-9139-9308A9F51038}"/>
              </c:ext>
            </c:extLst>
          </c:dPt>
          <c:dPt>
            <c:idx val="1"/>
            <c:bubble3D val="0"/>
            <c:spPr>
              <a:solidFill>
                <a:schemeClr val="accent6">
                  <a:lumMod val="75000"/>
                </a:schemeClr>
              </a:solidFill>
              <a:ln w="3175">
                <a:solidFill>
                  <a:schemeClr val="tx1"/>
                </a:solidFill>
              </a:ln>
              <a:effectLst/>
            </c:spPr>
            <c:extLst>
              <c:ext xmlns:c16="http://schemas.microsoft.com/office/drawing/2014/chart" uri="{C3380CC4-5D6E-409C-BE32-E72D297353CC}">
                <c16:uniqueId val="{00000003-24E2-4AAC-9139-9308A9F51038}"/>
              </c:ext>
            </c:extLst>
          </c:dPt>
          <c:dPt>
            <c:idx val="2"/>
            <c:bubble3D val="0"/>
            <c:spPr>
              <a:solidFill>
                <a:schemeClr val="accent6">
                  <a:lumMod val="50000"/>
                </a:schemeClr>
              </a:solidFill>
              <a:ln w="3175">
                <a:solidFill>
                  <a:schemeClr val="tx1"/>
                </a:solidFill>
              </a:ln>
              <a:effectLst/>
            </c:spPr>
            <c:extLst>
              <c:ext xmlns:c16="http://schemas.microsoft.com/office/drawing/2014/chart" uri="{C3380CC4-5D6E-409C-BE32-E72D297353CC}">
                <c16:uniqueId val="{00000005-24E2-4AAC-9139-9308A9F51038}"/>
              </c:ext>
            </c:extLst>
          </c:dPt>
          <c:dPt>
            <c:idx val="3"/>
            <c:bubble3D val="0"/>
            <c:spPr>
              <a:solidFill>
                <a:schemeClr val="accent2"/>
              </a:solidFill>
              <a:ln w="3175">
                <a:solidFill>
                  <a:schemeClr val="tx1"/>
                </a:solidFill>
              </a:ln>
              <a:effectLst/>
            </c:spPr>
            <c:extLst>
              <c:ext xmlns:c16="http://schemas.microsoft.com/office/drawing/2014/chart" uri="{C3380CC4-5D6E-409C-BE32-E72D297353CC}">
                <c16:uniqueId val="{00000007-24E2-4AAC-9139-9308A9F51038}"/>
              </c:ext>
            </c:extLst>
          </c:dPt>
          <c:dPt>
            <c:idx val="4"/>
            <c:bubble3D val="0"/>
            <c:spPr>
              <a:solidFill>
                <a:schemeClr val="accent5">
                  <a:lumMod val="60000"/>
                  <a:lumOff val="40000"/>
                </a:schemeClr>
              </a:solidFill>
              <a:ln w="3175">
                <a:solidFill>
                  <a:schemeClr val="tx1"/>
                </a:solidFill>
              </a:ln>
              <a:effectLst/>
            </c:spPr>
            <c:extLst>
              <c:ext xmlns:c16="http://schemas.microsoft.com/office/drawing/2014/chart" uri="{C3380CC4-5D6E-409C-BE32-E72D297353CC}">
                <c16:uniqueId val="{00000009-24E2-4AAC-9139-9308A9F51038}"/>
              </c:ext>
            </c:extLst>
          </c:dPt>
          <c:dPt>
            <c:idx val="5"/>
            <c:bubble3D val="0"/>
            <c:spPr>
              <a:solidFill>
                <a:schemeClr val="accent5">
                  <a:lumMod val="75000"/>
                </a:schemeClr>
              </a:solidFill>
              <a:ln w="3175">
                <a:solidFill>
                  <a:schemeClr val="tx1"/>
                </a:solidFill>
              </a:ln>
              <a:effectLst/>
            </c:spPr>
            <c:extLst>
              <c:ext xmlns:c16="http://schemas.microsoft.com/office/drawing/2014/chart" uri="{C3380CC4-5D6E-409C-BE32-E72D297353CC}">
                <c16:uniqueId val="{0000000B-24E2-4AAC-9139-9308A9F51038}"/>
              </c:ext>
            </c:extLst>
          </c:dPt>
          <c:dLbls>
            <c:dLbl>
              <c:idx val="2"/>
              <c:layout>
                <c:manualLayout>
                  <c:x val="2.2045855379188308E-3"/>
                  <c:y val="-1.592039800995024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E2-4AAC-9139-9308A9F51038}"/>
                </c:ext>
              </c:extLst>
            </c:dLbl>
            <c:dLbl>
              <c:idx val="3"/>
              <c:layout>
                <c:manualLayout>
                  <c:x val="-1.7636684303350969E-2"/>
                  <c:y val="0.11940298507462684"/>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E2-4AAC-9139-9308A9F51038}"/>
                </c:ext>
              </c:extLst>
            </c:dLbl>
            <c:dLbl>
              <c:idx val="4"/>
              <c:layout>
                <c:manualLayout>
                  <c:x val="0"/>
                  <c:y val="0.21492537313432836"/>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E2-4AAC-9139-9308A9F51038}"/>
                </c:ext>
              </c:extLst>
            </c:dLbl>
            <c:dLbl>
              <c:idx val="5"/>
              <c:layout>
                <c:manualLayout>
                  <c:x val="3.7477954144620809E-2"/>
                  <c:y val="0.13532338308457711"/>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4E2-4AAC-9139-9308A9F5103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'Ark1'!$A$2:$A$7</c:f>
              <c:strCache>
                <c:ptCount val="6"/>
                <c:pt idx="0">
                  <c:v>1,5 - 5 mill. kr.</c:v>
                </c:pt>
                <c:pt idx="1">
                  <c:v>5 - 10 mill. kr.</c:v>
                </c:pt>
                <c:pt idx="2">
                  <c:v>10 - 20 mill. kr.</c:v>
                </c:pt>
                <c:pt idx="3">
                  <c:v>20 - 50 mill. kr.</c:v>
                </c:pt>
                <c:pt idx="4">
                  <c:v>50 - 100 mill. kr.</c:v>
                </c:pt>
                <c:pt idx="5">
                  <c:v>Over 100 mill. kr.</c:v>
                </c:pt>
              </c:strCache>
            </c:strRef>
          </c:cat>
          <c:val>
            <c:numRef>
              <c:f>'Ark1'!$B$2:$B$7</c:f>
              <c:numCache>
                <c:formatCode>0%</c:formatCode>
                <c:ptCount val="6"/>
                <c:pt idx="0">
                  <c:v>0.81</c:v>
                </c:pt>
                <c:pt idx="1">
                  <c:v>0.11</c:v>
                </c:pt>
                <c:pt idx="2" formatCode="0.00%">
                  <c:v>4.4999999999999998E-2</c:v>
                </c:pt>
                <c:pt idx="3" formatCode="0.00%">
                  <c:v>1.9E-2</c:v>
                </c:pt>
                <c:pt idx="4" formatCode="0.00%">
                  <c:v>5.0000000000000001E-3</c:v>
                </c:pt>
                <c:pt idx="5" formatCode="0.00%">
                  <c:v>3.0000000000000001E-3</c:v>
                </c:pt>
              </c:numCache>
            </c:numRef>
          </c:val>
          <c:extLst>
            <c:ext xmlns:c16="http://schemas.microsoft.com/office/drawing/2014/chart" uri="{C3380CC4-5D6E-409C-BE32-E72D297353CC}">
              <c16:uniqueId val="{0000000C-24E2-4AAC-9139-9308A9F51038}"/>
            </c:ext>
          </c:extLst>
        </c:ser>
        <c:ser>
          <c:idx val="1"/>
          <c:order val="1"/>
          <c:tx>
            <c:strRef>
              <c:f>'Ark1'!$C$1</c:f>
              <c:strCache>
                <c:ptCount val="1"/>
                <c:pt idx="0">
                  <c:v>Kolonne1</c:v>
                </c:pt>
              </c:strCache>
            </c:strRef>
          </c:tx>
          <c:spPr>
            <a:ln>
              <a:solidFill>
                <a:schemeClr val="tx1"/>
              </a:solidFill>
            </a:ln>
          </c:spPr>
          <c:dPt>
            <c:idx val="0"/>
            <c:bubble3D val="0"/>
            <c:spPr>
              <a:solidFill>
                <a:schemeClr val="accent6">
                  <a:lumMod val="75000"/>
                </a:schemeClr>
              </a:solidFill>
              <a:ln w="19050">
                <a:solidFill>
                  <a:schemeClr val="tx1"/>
                </a:solidFill>
              </a:ln>
              <a:effectLst/>
            </c:spPr>
            <c:extLst>
              <c:ext xmlns:c16="http://schemas.microsoft.com/office/drawing/2014/chart" uri="{C3380CC4-5D6E-409C-BE32-E72D297353CC}">
                <c16:uniqueId val="{0000000E-24E2-4AAC-9139-9308A9F51038}"/>
              </c:ext>
            </c:extLst>
          </c:dPt>
          <c:dPt>
            <c:idx val="1"/>
            <c:bubble3D val="0"/>
            <c:spPr>
              <a:solidFill>
                <a:schemeClr val="accent6">
                  <a:lumMod val="75000"/>
                </a:schemeClr>
              </a:solidFill>
              <a:ln w="19050">
                <a:solidFill>
                  <a:schemeClr val="tx1"/>
                </a:solidFill>
              </a:ln>
              <a:effectLst/>
            </c:spPr>
            <c:extLst>
              <c:ext xmlns:c16="http://schemas.microsoft.com/office/drawing/2014/chart" uri="{C3380CC4-5D6E-409C-BE32-E72D297353CC}">
                <c16:uniqueId val="{00000010-24E2-4AAC-9139-9308A9F51038}"/>
              </c:ext>
            </c:extLst>
          </c:dPt>
          <c:dPt>
            <c:idx val="2"/>
            <c:bubble3D val="0"/>
            <c:spPr>
              <a:solidFill>
                <a:schemeClr val="accent6">
                  <a:lumMod val="75000"/>
                </a:schemeClr>
              </a:solidFill>
              <a:ln w="19050">
                <a:solidFill>
                  <a:schemeClr val="tx1"/>
                </a:solidFill>
              </a:ln>
              <a:effectLst/>
            </c:spPr>
            <c:extLst>
              <c:ext xmlns:c16="http://schemas.microsoft.com/office/drawing/2014/chart" uri="{C3380CC4-5D6E-409C-BE32-E72D297353CC}">
                <c16:uniqueId val="{00000012-24E2-4AAC-9139-9308A9F51038}"/>
              </c:ext>
            </c:extLst>
          </c:dPt>
          <c:dPt>
            <c:idx val="3"/>
            <c:bubble3D val="0"/>
            <c:spPr>
              <a:solidFill>
                <a:schemeClr val="accent2"/>
              </a:solidFill>
              <a:ln w="19050">
                <a:solidFill>
                  <a:schemeClr val="tx1"/>
                </a:solidFill>
              </a:ln>
              <a:effectLst/>
            </c:spPr>
            <c:extLst>
              <c:ext xmlns:c16="http://schemas.microsoft.com/office/drawing/2014/chart" uri="{C3380CC4-5D6E-409C-BE32-E72D297353CC}">
                <c16:uniqueId val="{00000014-24E2-4AAC-9139-9308A9F51038}"/>
              </c:ext>
            </c:extLst>
          </c:dPt>
          <c:dPt>
            <c:idx val="4"/>
            <c:bubble3D val="0"/>
            <c:spPr>
              <a:solidFill>
                <a:schemeClr val="accent5">
                  <a:lumMod val="75000"/>
                </a:schemeClr>
              </a:solidFill>
              <a:ln w="19050">
                <a:solidFill>
                  <a:schemeClr val="tx1"/>
                </a:solidFill>
              </a:ln>
              <a:effectLst/>
            </c:spPr>
            <c:extLst>
              <c:ext xmlns:c16="http://schemas.microsoft.com/office/drawing/2014/chart" uri="{C3380CC4-5D6E-409C-BE32-E72D297353CC}">
                <c16:uniqueId val="{00000016-24E2-4AAC-9139-9308A9F51038}"/>
              </c:ext>
            </c:extLst>
          </c:dPt>
          <c:dPt>
            <c:idx val="5"/>
            <c:bubble3D val="0"/>
            <c:spPr>
              <a:solidFill>
                <a:schemeClr val="accent5">
                  <a:lumMod val="75000"/>
                </a:schemeClr>
              </a:solidFill>
              <a:ln w="19050">
                <a:solidFill>
                  <a:schemeClr val="tx1"/>
                </a:solidFill>
              </a:ln>
              <a:effectLst/>
            </c:spPr>
            <c:extLst>
              <c:ext xmlns:c16="http://schemas.microsoft.com/office/drawing/2014/chart" uri="{C3380CC4-5D6E-409C-BE32-E72D297353CC}">
                <c16:uniqueId val="{00000018-24E2-4AAC-9139-9308A9F51038}"/>
              </c:ext>
            </c:extLst>
          </c:dPt>
          <c:cat>
            <c:strRef>
              <c:f>'Ark1'!$A$2:$A$7</c:f>
              <c:strCache>
                <c:ptCount val="6"/>
                <c:pt idx="0">
                  <c:v>1,5 - 5 mill. kr.</c:v>
                </c:pt>
                <c:pt idx="1">
                  <c:v>5 - 10 mill. kr.</c:v>
                </c:pt>
                <c:pt idx="2">
                  <c:v>10 - 20 mill. kr.</c:v>
                </c:pt>
                <c:pt idx="3">
                  <c:v>20 - 50 mill. kr.</c:v>
                </c:pt>
                <c:pt idx="4">
                  <c:v>50 - 100 mill. kr.</c:v>
                </c:pt>
                <c:pt idx="5">
                  <c:v>Over 100 mill. kr.</c:v>
                </c:pt>
              </c:strCache>
            </c:strRef>
          </c:cat>
          <c:val>
            <c:numRef>
              <c:f>'Ark1'!$C$2:$C$7</c:f>
              <c:numCache>
                <c:formatCode>0%</c:formatCode>
                <c:ptCount val="6"/>
                <c:pt idx="0">
                  <c:v>0.81</c:v>
                </c:pt>
                <c:pt idx="1">
                  <c:v>0.11</c:v>
                </c:pt>
                <c:pt idx="2" formatCode="0.00%">
                  <c:v>4.4999999999999998E-2</c:v>
                </c:pt>
                <c:pt idx="3" formatCode="0.00%">
                  <c:v>1.9E-2</c:v>
                </c:pt>
                <c:pt idx="4" formatCode="0.00%">
                  <c:v>5.0000000000000001E-3</c:v>
                </c:pt>
                <c:pt idx="5" formatCode="0.00%">
                  <c:v>3.0000000000000001E-3</c:v>
                </c:pt>
              </c:numCache>
            </c:numRef>
          </c:val>
          <c:extLst>
            <c:ext xmlns:c16="http://schemas.microsoft.com/office/drawing/2014/chart" uri="{C3380CC4-5D6E-409C-BE32-E72D297353CC}">
              <c16:uniqueId val="{00000019-24E2-4AAC-9139-9308A9F5103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70449596578205498"/>
          <c:y val="6.31829827241744E-2"/>
          <c:w val="0.21333102006317006"/>
          <c:h val="0.6933471226544443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862445946364635E-2"/>
          <c:y val="4.1989388423221294E-2"/>
          <c:w val="0.54721886576994061"/>
          <c:h val="0.91463409815708518"/>
        </c:manualLayout>
      </c:layout>
      <c:barChart>
        <c:barDir val="col"/>
        <c:grouping val="stacked"/>
        <c:varyColors val="0"/>
        <c:ser>
          <c:idx val="0"/>
          <c:order val="0"/>
          <c:tx>
            <c:strRef>
              <c:f>'Ark1'!$B$1</c:f>
              <c:strCache>
                <c:ptCount val="1"/>
                <c:pt idx="0">
                  <c:v>Formuesskatt på arbeidede kapital</c:v>
                </c:pt>
              </c:strCache>
            </c:strRef>
          </c:tx>
          <c:spPr>
            <a:solidFill>
              <a:srgbClr val="0070C0"/>
            </a:solidFill>
            <a:ln>
              <a:solidFill>
                <a:schemeClr val="accent6">
                  <a:lumMod val="50000"/>
                </a:schemeClr>
              </a:solid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'Ark1'!$B$2</c:f>
              <c:numCache>
                <c:formatCode>General</c:formatCode>
                <c:ptCount val="1"/>
                <c:pt idx="0">
                  <c:v>8.1999999999999993</c:v>
                </c:pt>
              </c:numCache>
            </c:numRef>
          </c:val>
          <c:extLst>
            <c:ext xmlns:c16="http://schemas.microsoft.com/office/drawing/2014/chart" uri="{C3380CC4-5D6E-409C-BE32-E72D297353CC}">
              <c16:uniqueId val="{00000000-C584-4D03-9F78-9254278BA990}"/>
            </c:ext>
          </c:extLst>
        </c:ser>
        <c:ser>
          <c:idx val="1"/>
          <c:order val="1"/>
          <c:tx>
            <c:strRef>
              <c:f>'Ark1'!$C$1</c:f>
              <c:strCache>
                <c:ptCount val="1"/>
                <c:pt idx="0">
                  <c:v>Formuesskatt på personlig, ikke-næringsrelatert kapital </c:v>
                </c:pt>
              </c:strCache>
            </c:strRef>
          </c:tx>
          <c:spPr>
            <a:solidFill>
              <a:schemeClr val="accent2"/>
            </a:solidFill>
            <a:ln>
              <a:solidFill>
                <a:schemeClr val="accent6">
                  <a:lumMod val="50000"/>
                </a:schemeClr>
              </a:solid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entury Gothic" panose="020B0502020202020204" pitchFamily="34"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'Ark1'!$C$2</c:f>
              <c:numCache>
                <c:formatCode>General</c:formatCode>
                <c:ptCount val="1"/>
                <c:pt idx="0">
                  <c:v>7.9</c:v>
                </c:pt>
              </c:numCache>
            </c:numRef>
          </c:val>
          <c:extLst>
            <c:ext xmlns:c16="http://schemas.microsoft.com/office/drawing/2014/chart" uri="{C3380CC4-5D6E-409C-BE32-E72D297353CC}">
              <c16:uniqueId val="{00000001-C584-4D03-9F78-9254278BA990}"/>
            </c:ext>
          </c:extLst>
        </c:ser>
        <c:dLbls>
          <c:showLegendKey val="0"/>
          <c:showVal val="0"/>
          <c:showCatName val="0"/>
          <c:showSerName val="0"/>
          <c:showPercent val="0"/>
          <c:showBubbleSize val="0"/>
        </c:dLbls>
        <c:gapWidth val="150"/>
        <c:overlap val="100"/>
        <c:axId val="1817749519"/>
        <c:axId val="1602552207"/>
      </c:barChart>
      <c:catAx>
        <c:axId val="1817749519"/>
        <c:scaling>
          <c:orientation val="minMax"/>
        </c:scaling>
        <c:delete val="1"/>
        <c:axPos val="b"/>
        <c:numFmt formatCode="General" sourceLinked="1"/>
        <c:majorTickMark val="none"/>
        <c:minorTickMark val="none"/>
        <c:tickLblPos val="nextTo"/>
        <c:crossAx val="1602552207"/>
        <c:crosses val="autoZero"/>
        <c:auto val="1"/>
        <c:lblAlgn val="ctr"/>
        <c:lblOffset val="100"/>
        <c:noMultiLvlLbl val="0"/>
      </c:catAx>
      <c:valAx>
        <c:axId val="16025522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nb-NO"/>
          </a:p>
        </c:txPr>
        <c:crossAx val="1817749519"/>
        <c:crosses val="autoZero"/>
        <c:crossBetween val="between"/>
      </c:valAx>
      <c:spPr>
        <a:noFill/>
        <a:ln>
          <a:noFill/>
        </a:ln>
        <a:effectLst/>
      </c:spPr>
    </c:plotArea>
    <c:legend>
      <c:legendPos val="r"/>
      <c:legendEntry>
        <c:idx val="1"/>
        <c:txPr>
          <a:bodyPr rot="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legendEntry>
      <c:layout>
        <c:manualLayout>
          <c:xMode val="edge"/>
          <c:yMode val="edge"/>
          <c:x val="0.65280759599122773"/>
          <c:y val="0.36851742490522016"/>
          <c:w val="0.30014776336673993"/>
          <c:h val="0.37872193059200931"/>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aseline="0">
          <a:solidFill>
            <a:sysClr val="windowText" lastClr="000000"/>
          </a:solidFill>
          <a:latin typeface="Century Gothic" panose="020B0502020202020204" pitchFamily="34" charset="0"/>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Blå">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Slice">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1CF7D-8ABE-4944-BA71-2E61B8038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9316</Words>
  <Characters>49380</Characters>
  <Application>Microsoft Office Word</Application>
  <DocSecurity>0</DocSecurity>
  <Lines>411</Lines>
  <Paragraphs>117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Villeman Vinje</dc:creator>
  <cp:keywords/>
  <dc:description/>
  <cp:lastModifiedBy>Joachim Dagenborg</cp:lastModifiedBy>
  <cp:revision>2</cp:revision>
  <dcterms:created xsi:type="dcterms:W3CDTF">2020-09-29T17:37:00Z</dcterms:created>
  <dcterms:modified xsi:type="dcterms:W3CDTF">2020-09-29T17:37:00Z</dcterms:modified>
</cp:coreProperties>
</file>